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0" w:type="auto"/>
        <w:tblLayout w:type="fixed"/>
        <w:tblLook w:val="04A0" w:firstRow="1" w:lastRow="0" w:firstColumn="1" w:lastColumn="0" w:noHBand="0" w:noVBand="1"/>
      </w:tblPr>
      <w:tblGrid>
        <w:gridCol w:w="2438"/>
        <w:gridCol w:w="6406"/>
      </w:tblGrid>
      <w:tr w:rsidR="008A420B" w:rsidRPr="00975B07" w14:paraId="2439FDB6" w14:textId="77777777" w:rsidTr="008A420B">
        <w:tc>
          <w:tcPr>
            <w:tcW w:w="2438" w:type="dxa"/>
            <w:shd w:val="clear" w:color="auto" w:fill="auto"/>
          </w:tcPr>
          <w:p w14:paraId="487B0A31" w14:textId="77777777" w:rsidR="008A420B" w:rsidRPr="00975B07" w:rsidRDefault="008A420B" w:rsidP="008A420B">
            <w:pPr>
              <w:rPr>
                <w:rStyle w:val="Firstpagetablebold"/>
              </w:rPr>
            </w:pPr>
            <w:r w:rsidRPr="00975B07">
              <w:rPr>
                <w:rStyle w:val="Firstpagetablebold"/>
              </w:rPr>
              <w:t>To:</w:t>
            </w:r>
          </w:p>
        </w:tc>
        <w:tc>
          <w:tcPr>
            <w:tcW w:w="6406" w:type="dxa"/>
            <w:shd w:val="clear" w:color="auto" w:fill="auto"/>
          </w:tcPr>
          <w:p w14:paraId="3342C987" w14:textId="77777777" w:rsidR="008A420B" w:rsidRPr="00F95BC9" w:rsidRDefault="008A420B" w:rsidP="008A420B">
            <w:pPr>
              <w:rPr>
                <w:rStyle w:val="Firstpagetablebold"/>
              </w:rPr>
            </w:pPr>
            <w:r w:rsidRPr="00F95BC9">
              <w:rPr>
                <w:rStyle w:val="Firstpagetablebold"/>
              </w:rPr>
              <w:t>City Executive Board</w:t>
            </w:r>
          </w:p>
        </w:tc>
      </w:tr>
      <w:tr w:rsidR="008A420B" w:rsidRPr="00975B07" w14:paraId="04B880C7" w14:textId="77777777" w:rsidTr="008A420B">
        <w:tc>
          <w:tcPr>
            <w:tcW w:w="2438" w:type="dxa"/>
            <w:shd w:val="clear" w:color="auto" w:fill="auto"/>
          </w:tcPr>
          <w:p w14:paraId="5FC6F566" w14:textId="77777777" w:rsidR="008A420B" w:rsidRPr="00975B07" w:rsidRDefault="008A420B" w:rsidP="008A420B">
            <w:pPr>
              <w:rPr>
                <w:rStyle w:val="Firstpagetablebold"/>
              </w:rPr>
            </w:pPr>
            <w:r w:rsidRPr="00975B07">
              <w:rPr>
                <w:rStyle w:val="Firstpagetablebold"/>
              </w:rPr>
              <w:t>Date:</w:t>
            </w:r>
          </w:p>
        </w:tc>
        <w:tc>
          <w:tcPr>
            <w:tcW w:w="6406" w:type="dxa"/>
            <w:shd w:val="clear" w:color="auto" w:fill="auto"/>
          </w:tcPr>
          <w:p w14:paraId="6EC1326D" w14:textId="77777777" w:rsidR="008A420B" w:rsidRPr="001356F1" w:rsidRDefault="008A420B" w:rsidP="008A420B">
            <w:pPr>
              <w:rPr>
                <w:b/>
              </w:rPr>
            </w:pPr>
            <w:r>
              <w:rPr>
                <w:rStyle w:val="Firstpagetablebold"/>
              </w:rPr>
              <w:t>13 June 2018</w:t>
            </w:r>
          </w:p>
        </w:tc>
      </w:tr>
      <w:tr w:rsidR="008A420B" w:rsidRPr="00975B07" w14:paraId="24AB0FDC" w14:textId="77777777" w:rsidTr="008A420B">
        <w:tc>
          <w:tcPr>
            <w:tcW w:w="2438" w:type="dxa"/>
            <w:shd w:val="clear" w:color="auto" w:fill="auto"/>
          </w:tcPr>
          <w:p w14:paraId="35310B77" w14:textId="77777777" w:rsidR="008A420B" w:rsidRPr="00975B07" w:rsidRDefault="008A420B" w:rsidP="008A420B">
            <w:pPr>
              <w:rPr>
                <w:rStyle w:val="Firstpagetablebold"/>
              </w:rPr>
            </w:pPr>
            <w:r w:rsidRPr="00975B07">
              <w:rPr>
                <w:rStyle w:val="Firstpagetablebold"/>
              </w:rPr>
              <w:t>Report of:</w:t>
            </w:r>
          </w:p>
        </w:tc>
        <w:tc>
          <w:tcPr>
            <w:tcW w:w="6406" w:type="dxa"/>
            <w:shd w:val="clear" w:color="auto" w:fill="auto"/>
          </w:tcPr>
          <w:p w14:paraId="35919E69" w14:textId="77777777" w:rsidR="008A420B" w:rsidRDefault="008A420B" w:rsidP="008A420B">
            <w:pPr>
              <w:rPr>
                <w:rStyle w:val="Firstpagetablebold"/>
              </w:rPr>
            </w:pPr>
            <w:r>
              <w:rPr>
                <w:rStyle w:val="Firstpagetablebold"/>
              </w:rPr>
              <w:t>Head of Financial Services</w:t>
            </w:r>
          </w:p>
          <w:p w14:paraId="2E76F53E" w14:textId="77777777" w:rsidR="008A420B" w:rsidRPr="001356F1" w:rsidRDefault="008A420B" w:rsidP="008A420B">
            <w:pPr>
              <w:rPr>
                <w:rStyle w:val="Firstpagetablebold"/>
              </w:rPr>
            </w:pPr>
            <w:r>
              <w:rPr>
                <w:rStyle w:val="Firstpagetablebold"/>
              </w:rPr>
              <w:t>Head of Business Improvement</w:t>
            </w:r>
          </w:p>
        </w:tc>
      </w:tr>
      <w:tr w:rsidR="008A420B" w:rsidRPr="00975B07" w14:paraId="37CEB439" w14:textId="77777777" w:rsidTr="008A420B">
        <w:tc>
          <w:tcPr>
            <w:tcW w:w="2438" w:type="dxa"/>
            <w:shd w:val="clear" w:color="auto" w:fill="auto"/>
          </w:tcPr>
          <w:p w14:paraId="518C3793" w14:textId="77777777" w:rsidR="008A420B" w:rsidRPr="00975B07" w:rsidRDefault="008A420B" w:rsidP="008A420B">
            <w:pPr>
              <w:rPr>
                <w:rStyle w:val="Firstpagetablebold"/>
              </w:rPr>
            </w:pPr>
            <w:r w:rsidRPr="00975B07">
              <w:rPr>
                <w:rStyle w:val="Firstpagetablebold"/>
              </w:rPr>
              <w:t xml:space="preserve">Title of Report: </w:t>
            </w:r>
          </w:p>
        </w:tc>
        <w:tc>
          <w:tcPr>
            <w:tcW w:w="6406" w:type="dxa"/>
            <w:shd w:val="clear" w:color="auto" w:fill="auto"/>
          </w:tcPr>
          <w:p w14:paraId="0B3CD547" w14:textId="77777777" w:rsidR="008A420B" w:rsidRPr="001356F1" w:rsidRDefault="008A420B" w:rsidP="008A420B">
            <w:pPr>
              <w:rPr>
                <w:rStyle w:val="Firstpagetablebold"/>
              </w:rPr>
            </w:pPr>
            <w:r>
              <w:rPr>
                <w:rStyle w:val="Firstpagetablebold"/>
              </w:rPr>
              <w:t>Integrated Performance Report for Quarter 4 2017/18</w:t>
            </w:r>
          </w:p>
        </w:tc>
      </w:tr>
    </w:tbl>
    <w:p w14:paraId="13FB67B5" w14:textId="77777777" w:rsidR="00D5547E" w:rsidRPr="009E51FC" w:rsidRDefault="00D5547E" w:rsidP="004A6D2F"/>
    <w:p w14:paraId="0A5CE0D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14:paraId="6F3C9C8E" w14:textId="77777777" w:rsidTr="00A85B0E">
        <w:tc>
          <w:tcPr>
            <w:tcW w:w="9298" w:type="dxa"/>
            <w:gridSpan w:val="3"/>
            <w:tcBorders>
              <w:bottom w:val="single" w:sz="8" w:space="0" w:color="000000"/>
            </w:tcBorders>
            <w:hideMark/>
          </w:tcPr>
          <w:p w14:paraId="282A063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A9CCE87" w14:textId="77777777" w:rsidTr="00A85B0E">
        <w:tc>
          <w:tcPr>
            <w:tcW w:w="3363" w:type="dxa"/>
            <w:gridSpan w:val="2"/>
            <w:tcBorders>
              <w:top w:val="single" w:sz="8" w:space="0" w:color="000000"/>
              <w:left w:val="single" w:sz="8" w:space="0" w:color="000000"/>
              <w:bottom w:val="nil"/>
              <w:right w:val="nil"/>
            </w:tcBorders>
            <w:hideMark/>
          </w:tcPr>
          <w:p w14:paraId="034EDF1D"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03D201D4" w14:textId="77777777" w:rsidR="00D5547E" w:rsidRPr="001356F1" w:rsidRDefault="00A91B9B" w:rsidP="00965E39">
            <w:r>
              <w:t xml:space="preserve">To update Members on Finance, Risk and Performance as at </w:t>
            </w:r>
            <w:r w:rsidR="00965E39">
              <w:t>the end of the financial year</w:t>
            </w:r>
            <w:r w:rsidR="00964187">
              <w:t>.</w:t>
            </w:r>
          </w:p>
        </w:tc>
      </w:tr>
      <w:tr w:rsidR="00D5547E" w14:paraId="0ED13F5A" w14:textId="77777777" w:rsidTr="00A85B0E">
        <w:tc>
          <w:tcPr>
            <w:tcW w:w="3363" w:type="dxa"/>
            <w:gridSpan w:val="2"/>
            <w:tcBorders>
              <w:top w:val="nil"/>
              <w:left w:val="single" w:sz="8" w:space="0" w:color="000000"/>
              <w:bottom w:val="nil"/>
              <w:right w:val="nil"/>
            </w:tcBorders>
            <w:hideMark/>
          </w:tcPr>
          <w:p w14:paraId="5CABD777"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4775D74B" w14:textId="77777777" w:rsidR="00D5547E" w:rsidRPr="001356F1" w:rsidRDefault="00177372" w:rsidP="005F7F7E">
            <w:r>
              <w:t>No</w:t>
            </w:r>
          </w:p>
        </w:tc>
      </w:tr>
      <w:tr w:rsidR="00D5547E" w14:paraId="2749D9EC" w14:textId="77777777" w:rsidTr="00A85B0E">
        <w:tc>
          <w:tcPr>
            <w:tcW w:w="3363" w:type="dxa"/>
            <w:gridSpan w:val="2"/>
            <w:tcBorders>
              <w:top w:val="nil"/>
              <w:left w:val="single" w:sz="8" w:space="0" w:color="000000"/>
              <w:bottom w:val="nil"/>
              <w:right w:val="nil"/>
            </w:tcBorders>
            <w:hideMark/>
          </w:tcPr>
          <w:p w14:paraId="0C7810C7" w14:textId="77777777"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14:paraId="752854CB" w14:textId="77777777" w:rsidR="00D5547E" w:rsidRPr="001356F1" w:rsidRDefault="00D5547E" w:rsidP="00FB70AC">
            <w:r w:rsidRPr="001356F1">
              <w:t xml:space="preserve">Councillor </w:t>
            </w:r>
            <w:r w:rsidR="00FB70AC">
              <w:t>Ed Turner</w:t>
            </w:r>
          </w:p>
        </w:tc>
      </w:tr>
      <w:tr w:rsidR="0080749A" w14:paraId="2C0011A0" w14:textId="77777777" w:rsidTr="00A85B0E">
        <w:tc>
          <w:tcPr>
            <w:tcW w:w="3363" w:type="dxa"/>
            <w:gridSpan w:val="2"/>
            <w:tcBorders>
              <w:top w:val="nil"/>
              <w:left w:val="single" w:sz="8" w:space="0" w:color="000000"/>
              <w:bottom w:val="nil"/>
              <w:right w:val="nil"/>
            </w:tcBorders>
          </w:tcPr>
          <w:p w14:paraId="5739F50B"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657A9DAE" w14:textId="77777777" w:rsidR="0080749A" w:rsidRPr="001356F1" w:rsidRDefault="00FB70AC" w:rsidP="005F7F7E">
            <w:r>
              <w:t>Efficient and Effective Council</w:t>
            </w:r>
            <w:r w:rsidR="0080749A" w:rsidRPr="001356F1">
              <w:t>.</w:t>
            </w:r>
          </w:p>
        </w:tc>
      </w:tr>
      <w:tr w:rsidR="00D5547E" w14:paraId="50D17C79" w14:textId="77777777" w:rsidTr="00A85B0E">
        <w:tc>
          <w:tcPr>
            <w:tcW w:w="3363" w:type="dxa"/>
            <w:gridSpan w:val="2"/>
            <w:tcBorders>
              <w:top w:val="nil"/>
              <w:left w:val="single" w:sz="8" w:space="0" w:color="000000"/>
              <w:bottom w:val="nil"/>
              <w:right w:val="nil"/>
            </w:tcBorders>
            <w:hideMark/>
          </w:tcPr>
          <w:p w14:paraId="19B0F2CE"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345F8DD9" w14:textId="77777777" w:rsidR="00D5547E" w:rsidRPr="001356F1" w:rsidRDefault="00044A94" w:rsidP="005F7F7E">
            <w:r>
              <w:t>Corporate Plan</w:t>
            </w:r>
          </w:p>
        </w:tc>
      </w:tr>
      <w:tr w:rsidR="005F7F7E" w:rsidRPr="00975B07" w14:paraId="2EDA789D" w14:textId="77777777" w:rsidTr="00A85B0E">
        <w:trPr>
          <w:trHeight w:val="413"/>
        </w:trPr>
        <w:tc>
          <w:tcPr>
            <w:tcW w:w="9298" w:type="dxa"/>
            <w:gridSpan w:val="3"/>
            <w:tcBorders>
              <w:bottom w:val="single" w:sz="8" w:space="0" w:color="000000"/>
            </w:tcBorders>
          </w:tcPr>
          <w:p w14:paraId="0FA1021B" w14:textId="1E864863" w:rsidR="005F7F7E" w:rsidRPr="00975B07" w:rsidRDefault="008A420B" w:rsidP="008A420B">
            <w:r>
              <w:rPr>
                <w:rStyle w:val="Firstpagetablebold"/>
              </w:rPr>
              <w:t>Recommendation</w:t>
            </w:r>
            <w:r w:rsidR="005F7F7E">
              <w:rPr>
                <w:rStyle w:val="Firstpagetablebold"/>
              </w:rPr>
              <w:t>s:</w:t>
            </w:r>
            <w:r w:rsidR="007E64F0">
              <w:rPr>
                <w:rStyle w:val="Firstpagetablebold"/>
              </w:rPr>
              <w:t xml:space="preserve"> </w:t>
            </w:r>
            <w:r w:rsidR="005F7F7E" w:rsidRPr="008A420B">
              <w:rPr>
                <w:rStyle w:val="Firstpagetablebold"/>
                <w:b w:val="0"/>
              </w:rPr>
              <w:t>That the City Executive Board</w:t>
            </w:r>
            <w:r w:rsidR="00A85B0E" w:rsidRPr="008A420B">
              <w:rPr>
                <w:rStyle w:val="Firstpagetablebold"/>
                <w:b w:val="0"/>
              </w:rPr>
              <w:t xml:space="preserve"> resolves to</w:t>
            </w:r>
            <w:r w:rsidR="005F7F7E" w:rsidRPr="008A420B">
              <w:rPr>
                <w:rStyle w:val="Firstpagetablebold"/>
                <w:b w:val="0"/>
              </w:rPr>
              <w:t>:</w:t>
            </w:r>
          </w:p>
        </w:tc>
      </w:tr>
      <w:tr w:rsidR="0030208D" w:rsidRPr="00975B07" w14:paraId="293CB558" w14:textId="77777777" w:rsidTr="00D77751">
        <w:trPr>
          <w:trHeight w:val="714"/>
        </w:trPr>
        <w:tc>
          <w:tcPr>
            <w:tcW w:w="1389" w:type="dxa"/>
            <w:tcBorders>
              <w:top w:val="single" w:sz="8" w:space="0" w:color="000000"/>
              <w:left w:val="single" w:sz="8" w:space="0" w:color="000000"/>
              <w:bottom w:val="nil"/>
              <w:right w:val="nil"/>
            </w:tcBorders>
          </w:tcPr>
          <w:p w14:paraId="0E51D85C" w14:textId="77777777" w:rsidR="00A85B0E" w:rsidRDefault="00A85B0E" w:rsidP="00DC1F43">
            <w:pPr>
              <w:numPr>
                <w:ilvl w:val="0"/>
                <w:numId w:val="11"/>
              </w:numPr>
              <w:spacing w:before="120" w:after="0"/>
              <w:ind w:left="318" w:firstLine="0"/>
            </w:pPr>
          </w:p>
          <w:p w14:paraId="74E5F32C" w14:textId="77777777" w:rsidR="006F4D93" w:rsidRDefault="006F4D93" w:rsidP="007E64F0">
            <w:pPr>
              <w:spacing w:before="120" w:after="0"/>
              <w:ind w:left="318"/>
            </w:pPr>
          </w:p>
          <w:p w14:paraId="34AED034" w14:textId="77777777" w:rsidR="00965E39" w:rsidRDefault="00965E39" w:rsidP="00BD3A56">
            <w:pPr>
              <w:spacing w:before="120" w:after="0"/>
              <w:ind w:left="318"/>
            </w:pPr>
          </w:p>
          <w:p w14:paraId="3176200D" w14:textId="77777777" w:rsidR="00121043" w:rsidRDefault="000202F2" w:rsidP="00BD3A56">
            <w:pPr>
              <w:spacing w:before="120" w:after="0"/>
              <w:ind w:left="318"/>
            </w:pPr>
            <w:r>
              <w:t>2.</w:t>
            </w:r>
          </w:p>
          <w:p w14:paraId="1BB85F4D" w14:textId="77777777" w:rsidR="00965E39" w:rsidRDefault="00965E39" w:rsidP="00BD3A56">
            <w:pPr>
              <w:spacing w:before="120" w:after="0"/>
              <w:ind w:left="318"/>
            </w:pPr>
          </w:p>
          <w:p w14:paraId="0B2CD8E1" w14:textId="77777777" w:rsidR="00965E39" w:rsidRDefault="00965E39" w:rsidP="00BD3A56">
            <w:pPr>
              <w:spacing w:before="120" w:after="0"/>
              <w:ind w:left="318"/>
            </w:pPr>
          </w:p>
          <w:p w14:paraId="5288E34A" w14:textId="77777777" w:rsidR="00965E39" w:rsidRDefault="00965E39" w:rsidP="00BD3A56">
            <w:pPr>
              <w:spacing w:before="120" w:after="0"/>
              <w:ind w:left="318"/>
            </w:pPr>
            <w:r>
              <w:t>3.</w:t>
            </w:r>
          </w:p>
          <w:p w14:paraId="68846685" w14:textId="77777777" w:rsidR="00965E39" w:rsidRDefault="00965E39" w:rsidP="00BD3A56">
            <w:pPr>
              <w:spacing w:before="120" w:after="0"/>
              <w:ind w:left="318"/>
            </w:pPr>
          </w:p>
          <w:p w14:paraId="3A5DF7F3" w14:textId="77777777" w:rsidR="00965E39" w:rsidRDefault="00965E39" w:rsidP="00BD3A56">
            <w:pPr>
              <w:spacing w:before="120" w:after="0"/>
              <w:ind w:left="318"/>
            </w:pPr>
            <w:r>
              <w:t>4.</w:t>
            </w:r>
          </w:p>
          <w:p w14:paraId="41FDF3E1" w14:textId="77777777" w:rsidR="00965E39" w:rsidRDefault="00965E39" w:rsidP="00BD3A56">
            <w:pPr>
              <w:spacing w:before="120" w:after="0"/>
              <w:ind w:left="318"/>
            </w:pPr>
          </w:p>
          <w:p w14:paraId="4681C6F8" w14:textId="77777777" w:rsidR="003E74D0" w:rsidRDefault="003E74D0" w:rsidP="00BD3A56">
            <w:pPr>
              <w:spacing w:before="120" w:after="0"/>
              <w:ind w:left="318"/>
            </w:pPr>
          </w:p>
          <w:p w14:paraId="7BBAF5D3" w14:textId="77777777" w:rsidR="00965E39" w:rsidRPr="00975B07" w:rsidRDefault="00660B15" w:rsidP="00965E39">
            <w:pPr>
              <w:spacing w:before="120" w:after="0"/>
              <w:ind w:left="318"/>
            </w:pPr>
            <w:r>
              <w:t>5</w:t>
            </w:r>
          </w:p>
        </w:tc>
        <w:tc>
          <w:tcPr>
            <w:tcW w:w="7909" w:type="dxa"/>
            <w:gridSpan w:val="2"/>
            <w:tcBorders>
              <w:top w:val="single" w:sz="8" w:space="0" w:color="000000"/>
              <w:left w:val="nil"/>
              <w:bottom w:val="nil"/>
              <w:right w:val="single" w:sz="8" w:space="0" w:color="000000"/>
            </w:tcBorders>
            <w:shd w:val="clear" w:color="auto" w:fill="auto"/>
          </w:tcPr>
          <w:p w14:paraId="4E75A8C5" w14:textId="77777777" w:rsidR="00DD512B" w:rsidRDefault="00A85B0E" w:rsidP="00BD3A56">
            <w:pPr>
              <w:spacing w:after="0"/>
              <w:rPr>
                <w:rStyle w:val="Firstpagetablebold"/>
                <w:b w:val="0"/>
              </w:rPr>
            </w:pPr>
            <w:r w:rsidRPr="008A420B">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965E39">
              <w:rPr>
                <w:rStyle w:val="Firstpagetablebold"/>
                <w:b w:val="0"/>
              </w:rPr>
              <w:t>financial outturn and performance of the Council for the year 201</w:t>
            </w:r>
            <w:r w:rsidR="004C6F45">
              <w:rPr>
                <w:rStyle w:val="Firstpagetablebold"/>
                <w:b w:val="0"/>
              </w:rPr>
              <w:t>7</w:t>
            </w:r>
            <w:r w:rsidR="00965E39">
              <w:rPr>
                <w:rStyle w:val="Firstpagetablebold"/>
                <w:b w:val="0"/>
              </w:rPr>
              <w:t>/1</w:t>
            </w:r>
            <w:r w:rsidR="004C6F45">
              <w:rPr>
                <w:rStyle w:val="Firstpagetablebold"/>
                <w:b w:val="0"/>
              </w:rPr>
              <w:t>8</w:t>
            </w:r>
            <w:r w:rsidR="00965E39">
              <w:rPr>
                <w:rStyle w:val="Firstpagetablebold"/>
                <w:b w:val="0"/>
              </w:rPr>
              <w:t xml:space="preserve"> and also the position on risks outstanding as at 31</w:t>
            </w:r>
            <w:r w:rsidR="00965E39" w:rsidRPr="00965E39">
              <w:rPr>
                <w:rStyle w:val="Firstpagetablebold"/>
                <w:b w:val="0"/>
                <w:vertAlign w:val="superscript"/>
              </w:rPr>
              <w:t>st</w:t>
            </w:r>
            <w:r w:rsidR="00965E39">
              <w:rPr>
                <w:rStyle w:val="Firstpagetablebold"/>
                <w:b w:val="0"/>
              </w:rPr>
              <w:t xml:space="preserve"> March 201</w:t>
            </w:r>
            <w:r w:rsidR="004C6F45">
              <w:rPr>
                <w:rStyle w:val="Firstpagetablebold"/>
                <w:b w:val="0"/>
              </w:rPr>
              <w:t>8</w:t>
            </w:r>
            <w:r w:rsidR="00965E39">
              <w:rPr>
                <w:rStyle w:val="Firstpagetablebold"/>
                <w:b w:val="0"/>
              </w:rPr>
              <w:t>;</w:t>
            </w:r>
          </w:p>
          <w:p w14:paraId="12D876FE" w14:textId="77777777" w:rsidR="000202F2" w:rsidRDefault="000202F2" w:rsidP="00BD3A56">
            <w:pPr>
              <w:spacing w:after="0"/>
              <w:rPr>
                <w:rStyle w:val="Firstpagetablebold"/>
                <w:b w:val="0"/>
              </w:rPr>
            </w:pPr>
          </w:p>
          <w:p w14:paraId="1559B78E" w14:textId="0A263A69" w:rsidR="000202F2" w:rsidRPr="00D8272F" w:rsidRDefault="00965E39" w:rsidP="00965E39">
            <w:pPr>
              <w:spacing w:after="0"/>
              <w:rPr>
                <w:rStyle w:val="Firstpagetablebold"/>
                <w:b w:val="0"/>
                <w:color w:val="FF0000"/>
              </w:rPr>
            </w:pPr>
            <w:r w:rsidRPr="008A420B">
              <w:rPr>
                <w:rStyle w:val="Firstpagetablebold"/>
                <w:color w:val="auto"/>
              </w:rPr>
              <w:t xml:space="preserve">Agree </w:t>
            </w:r>
            <w:r w:rsidRPr="003418CD">
              <w:rPr>
                <w:rStyle w:val="Firstpagetablebold"/>
                <w:b w:val="0"/>
                <w:color w:val="auto"/>
              </w:rPr>
              <w:t xml:space="preserve">the carry forward requests </w:t>
            </w:r>
            <w:r w:rsidR="00660B15" w:rsidRPr="003418CD">
              <w:rPr>
                <w:rStyle w:val="Firstpagetablebold"/>
                <w:b w:val="0"/>
                <w:color w:val="auto"/>
              </w:rPr>
              <w:t xml:space="preserve">in respect of the General Fund </w:t>
            </w:r>
            <w:r w:rsidRPr="003418CD">
              <w:rPr>
                <w:rStyle w:val="Firstpagetablebold"/>
                <w:b w:val="0"/>
                <w:color w:val="auto"/>
              </w:rPr>
              <w:t xml:space="preserve">and recommend to Council the establishment of budgetary provision </w:t>
            </w:r>
            <w:r w:rsidR="00627684" w:rsidRPr="003418CD">
              <w:rPr>
                <w:rStyle w:val="Firstpagetablebold"/>
                <w:b w:val="0"/>
                <w:color w:val="auto"/>
              </w:rPr>
              <w:t xml:space="preserve">of </w:t>
            </w:r>
            <w:r w:rsidR="00660B15" w:rsidRPr="003418CD">
              <w:rPr>
                <w:rStyle w:val="Firstpagetablebold"/>
                <w:b w:val="0"/>
                <w:color w:val="auto"/>
              </w:rPr>
              <w:t>£</w:t>
            </w:r>
            <w:r w:rsidR="00CF62B2">
              <w:rPr>
                <w:rStyle w:val="Firstpagetablebold"/>
                <w:b w:val="0"/>
                <w:color w:val="auto"/>
              </w:rPr>
              <w:t>364</w:t>
            </w:r>
            <w:r w:rsidR="00660B15" w:rsidRPr="003418CD">
              <w:rPr>
                <w:rStyle w:val="Firstpagetablebold"/>
                <w:b w:val="0"/>
                <w:color w:val="auto"/>
              </w:rPr>
              <w:t xml:space="preserve">k </w:t>
            </w:r>
            <w:r w:rsidRPr="003418CD">
              <w:rPr>
                <w:rStyle w:val="Firstpagetablebold"/>
                <w:b w:val="0"/>
                <w:color w:val="auto"/>
              </w:rPr>
              <w:t>in respect of t</w:t>
            </w:r>
            <w:r w:rsidR="00E835AB" w:rsidRPr="003418CD">
              <w:rPr>
                <w:rStyle w:val="Firstpagetablebold"/>
                <w:b w:val="0"/>
                <w:color w:val="auto"/>
              </w:rPr>
              <w:t xml:space="preserve">he new bids </w:t>
            </w:r>
            <w:r w:rsidR="00E835AB" w:rsidRPr="00A52EDD">
              <w:rPr>
                <w:rStyle w:val="Firstpagetablebold"/>
                <w:b w:val="0"/>
                <w:color w:val="auto"/>
              </w:rPr>
              <w:t>shown in paragraph 6</w:t>
            </w:r>
            <w:r w:rsidRPr="00A52EDD">
              <w:rPr>
                <w:rStyle w:val="Firstpagetablebold"/>
                <w:b w:val="0"/>
                <w:color w:val="auto"/>
              </w:rPr>
              <w:t xml:space="preserve"> and </w:t>
            </w:r>
            <w:r w:rsidRPr="00484780">
              <w:rPr>
                <w:rStyle w:val="Firstpagetablebold"/>
                <w:b w:val="0"/>
                <w:color w:val="auto"/>
              </w:rPr>
              <w:t xml:space="preserve">Appendix </w:t>
            </w:r>
            <w:r w:rsidR="00E835AB" w:rsidRPr="00484780">
              <w:rPr>
                <w:rStyle w:val="Firstpagetablebold"/>
                <w:b w:val="0"/>
                <w:color w:val="auto"/>
              </w:rPr>
              <w:t>D</w:t>
            </w:r>
            <w:r w:rsidRPr="00D8272F">
              <w:rPr>
                <w:rStyle w:val="Firstpagetablebold"/>
                <w:b w:val="0"/>
                <w:color w:val="FF0000"/>
              </w:rPr>
              <w:t>;</w:t>
            </w:r>
          </w:p>
          <w:p w14:paraId="2DE38ECA" w14:textId="77777777" w:rsidR="00965E39" w:rsidRPr="00D8272F" w:rsidRDefault="00965E39" w:rsidP="00965E39">
            <w:pPr>
              <w:spacing w:after="0"/>
              <w:rPr>
                <w:rStyle w:val="Firstpagetablebold"/>
                <w:b w:val="0"/>
                <w:color w:val="FF0000"/>
              </w:rPr>
            </w:pPr>
          </w:p>
          <w:p w14:paraId="0DE9AACF" w14:textId="1A665885" w:rsidR="00965E39" w:rsidRPr="00D8272F" w:rsidRDefault="00965E39" w:rsidP="00965E39">
            <w:pPr>
              <w:spacing w:after="0"/>
              <w:rPr>
                <w:rStyle w:val="Firstpagetablebold"/>
                <w:b w:val="0"/>
                <w:color w:val="FF0000"/>
              </w:rPr>
            </w:pPr>
            <w:r w:rsidRPr="008A420B">
              <w:rPr>
                <w:rStyle w:val="Firstpagetablebold"/>
                <w:color w:val="auto"/>
              </w:rPr>
              <w:t>Agree</w:t>
            </w:r>
            <w:r w:rsidRPr="003418CD">
              <w:rPr>
                <w:rStyle w:val="Firstpagetablebold"/>
                <w:b w:val="0"/>
                <w:color w:val="auto"/>
              </w:rPr>
              <w:t xml:space="preserve"> the </w:t>
            </w:r>
            <w:r w:rsidR="00BF25C3">
              <w:rPr>
                <w:rStyle w:val="Firstpagetablebold"/>
                <w:b w:val="0"/>
                <w:color w:val="auto"/>
              </w:rPr>
              <w:t xml:space="preserve">additional </w:t>
            </w:r>
            <w:r w:rsidRPr="003418CD">
              <w:rPr>
                <w:rStyle w:val="Firstpagetablebold"/>
                <w:b w:val="0"/>
                <w:color w:val="auto"/>
              </w:rPr>
              <w:t xml:space="preserve">transfer to </w:t>
            </w:r>
            <w:r w:rsidR="00AE4091" w:rsidRPr="003418CD">
              <w:rPr>
                <w:rStyle w:val="Firstpagetablebold"/>
                <w:b w:val="0"/>
                <w:color w:val="auto"/>
              </w:rPr>
              <w:t xml:space="preserve">the </w:t>
            </w:r>
            <w:r w:rsidRPr="003418CD">
              <w:rPr>
                <w:rStyle w:val="Firstpagetablebold"/>
                <w:b w:val="0"/>
                <w:color w:val="auto"/>
              </w:rPr>
              <w:t xml:space="preserve">General Fund </w:t>
            </w:r>
            <w:r w:rsidR="00E40753" w:rsidRPr="003418CD">
              <w:rPr>
                <w:rStyle w:val="Firstpagetablebold"/>
                <w:b w:val="0"/>
                <w:color w:val="auto"/>
              </w:rPr>
              <w:t>Capital</w:t>
            </w:r>
            <w:r w:rsidR="00660B15" w:rsidRPr="003418CD">
              <w:rPr>
                <w:rStyle w:val="Firstpagetablebold"/>
                <w:b w:val="0"/>
                <w:color w:val="auto"/>
              </w:rPr>
              <w:t xml:space="preserve"> </w:t>
            </w:r>
            <w:r w:rsidR="00E40753" w:rsidRPr="003418CD">
              <w:rPr>
                <w:rStyle w:val="Firstpagetablebold"/>
                <w:b w:val="0"/>
                <w:color w:val="auto"/>
              </w:rPr>
              <w:t>Financing</w:t>
            </w:r>
            <w:r w:rsidR="00660B15" w:rsidRPr="003418CD">
              <w:rPr>
                <w:rStyle w:val="Firstpagetablebold"/>
                <w:b w:val="0"/>
                <w:color w:val="auto"/>
              </w:rPr>
              <w:t xml:space="preserve"> </w:t>
            </w:r>
            <w:r w:rsidR="00E40753" w:rsidRPr="003418CD">
              <w:rPr>
                <w:rStyle w:val="Firstpagetablebold"/>
                <w:b w:val="0"/>
                <w:color w:val="auto"/>
              </w:rPr>
              <w:t>Reserve</w:t>
            </w:r>
            <w:r w:rsidRPr="003418CD">
              <w:rPr>
                <w:rStyle w:val="Firstpagetablebold"/>
                <w:b w:val="0"/>
                <w:color w:val="auto"/>
              </w:rPr>
              <w:t xml:space="preserve"> </w:t>
            </w:r>
            <w:r w:rsidR="00CF62B2">
              <w:rPr>
                <w:rStyle w:val="Firstpagetablebold"/>
                <w:b w:val="0"/>
                <w:color w:val="auto"/>
              </w:rPr>
              <w:t>of £533</w:t>
            </w:r>
            <w:r w:rsidR="00660B15" w:rsidRPr="003418CD">
              <w:rPr>
                <w:rStyle w:val="Firstpagetablebold"/>
                <w:b w:val="0"/>
                <w:color w:val="auto"/>
              </w:rPr>
              <w:t xml:space="preserve">k </w:t>
            </w:r>
            <w:r w:rsidRPr="003418CD">
              <w:rPr>
                <w:rStyle w:val="Firstpagetablebold"/>
                <w:b w:val="0"/>
                <w:color w:val="auto"/>
              </w:rPr>
              <w:t>detail</w:t>
            </w:r>
            <w:r w:rsidR="00E00881" w:rsidRPr="003418CD">
              <w:rPr>
                <w:rStyle w:val="Firstpagetablebold"/>
                <w:b w:val="0"/>
                <w:color w:val="auto"/>
              </w:rPr>
              <w:t xml:space="preserve">ed </w:t>
            </w:r>
            <w:r w:rsidRPr="00A52EDD">
              <w:rPr>
                <w:rStyle w:val="Firstpagetablebold"/>
                <w:b w:val="0"/>
                <w:color w:val="auto"/>
              </w:rPr>
              <w:t xml:space="preserve">in paragraph </w:t>
            </w:r>
            <w:r w:rsidR="00660B15" w:rsidRPr="00A52EDD">
              <w:rPr>
                <w:rStyle w:val="Firstpagetablebold"/>
                <w:b w:val="0"/>
                <w:color w:val="auto"/>
              </w:rPr>
              <w:t>2 a</w:t>
            </w:r>
            <w:r w:rsidRPr="00A52EDD">
              <w:rPr>
                <w:rStyle w:val="Firstpagetablebold"/>
                <w:b w:val="0"/>
                <w:color w:val="auto"/>
              </w:rPr>
              <w:t>;</w:t>
            </w:r>
            <w:r w:rsidR="00E00881" w:rsidRPr="00A52EDD">
              <w:rPr>
                <w:rStyle w:val="Firstpagetablebold"/>
                <w:b w:val="0"/>
                <w:color w:val="auto"/>
              </w:rPr>
              <w:t xml:space="preserve"> </w:t>
            </w:r>
          </w:p>
          <w:p w14:paraId="584A8F5B" w14:textId="77777777" w:rsidR="00965E39" w:rsidRDefault="00965E39" w:rsidP="00965E39">
            <w:pPr>
              <w:spacing w:after="0"/>
              <w:rPr>
                <w:rStyle w:val="Firstpagetablebold"/>
                <w:b w:val="0"/>
              </w:rPr>
            </w:pPr>
          </w:p>
          <w:p w14:paraId="3F6A6CD3" w14:textId="75B9219C" w:rsidR="00965E39" w:rsidRPr="003418CD" w:rsidRDefault="00965E39" w:rsidP="00965E39">
            <w:pPr>
              <w:spacing w:after="0"/>
              <w:rPr>
                <w:rStyle w:val="Firstpagetablebold"/>
                <w:b w:val="0"/>
                <w:color w:val="auto"/>
              </w:rPr>
            </w:pPr>
            <w:r w:rsidRPr="008A420B">
              <w:rPr>
                <w:rStyle w:val="Firstpagetablebold"/>
                <w:color w:val="auto"/>
              </w:rPr>
              <w:t xml:space="preserve">Agree </w:t>
            </w:r>
            <w:r w:rsidRPr="00BF25C3">
              <w:rPr>
                <w:rStyle w:val="Firstpagetablebold"/>
                <w:b w:val="0"/>
                <w:color w:val="auto"/>
              </w:rPr>
              <w:t xml:space="preserve">the </w:t>
            </w:r>
            <w:r w:rsidR="00660B15" w:rsidRPr="00BF25C3">
              <w:rPr>
                <w:rStyle w:val="Firstpagetablebold"/>
                <w:b w:val="0"/>
                <w:color w:val="auto"/>
              </w:rPr>
              <w:t>carry forward requests outlined in paragraph 1</w:t>
            </w:r>
            <w:r w:rsidR="00EC4A78">
              <w:rPr>
                <w:rStyle w:val="Firstpagetablebold"/>
                <w:b w:val="0"/>
                <w:color w:val="auto"/>
              </w:rPr>
              <w:t>6</w:t>
            </w:r>
            <w:r w:rsidR="002E1770" w:rsidRPr="00BF25C3">
              <w:rPr>
                <w:rStyle w:val="Firstpagetablebold"/>
                <w:b w:val="0"/>
                <w:color w:val="auto"/>
              </w:rPr>
              <w:t xml:space="preserve"> </w:t>
            </w:r>
            <w:r w:rsidR="00A52EDD">
              <w:rPr>
                <w:rStyle w:val="Firstpagetablebold"/>
                <w:b w:val="0"/>
                <w:color w:val="auto"/>
              </w:rPr>
              <w:t>to 1</w:t>
            </w:r>
            <w:r w:rsidR="00EC4A78">
              <w:rPr>
                <w:rStyle w:val="Firstpagetablebold"/>
                <w:b w:val="0"/>
                <w:color w:val="auto"/>
              </w:rPr>
              <w:t>9</w:t>
            </w:r>
            <w:r w:rsidR="00660B15" w:rsidRPr="00BF25C3">
              <w:rPr>
                <w:rStyle w:val="Firstpagetablebold"/>
                <w:b w:val="0"/>
                <w:color w:val="auto"/>
              </w:rPr>
              <w:t xml:space="preserve"> in res</w:t>
            </w:r>
            <w:r w:rsidR="00660B15" w:rsidRPr="003418CD">
              <w:rPr>
                <w:rStyle w:val="Firstpagetablebold"/>
                <w:b w:val="0"/>
                <w:color w:val="auto"/>
              </w:rPr>
              <w:t xml:space="preserve">pect of the HRA as </w:t>
            </w:r>
            <w:r w:rsidR="00660B15" w:rsidRPr="00484780">
              <w:rPr>
                <w:rStyle w:val="Firstpagetablebold"/>
                <w:b w:val="0"/>
                <w:color w:val="auto"/>
              </w:rPr>
              <w:t>detailed in Appendix D</w:t>
            </w:r>
            <w:r w:rsidR="003E74D0" w:rsidRPr="00484780">
              <w:rPr>
                <w:rStyle w:val="Firstpagetablebold"/>
                <w:b w:val="0"/>
                <w:color w:val="auto"/>
              </w:rPr>
              <w:t xml:space="preserve"> </w:t>
            </w:r>
            <w:r w:rsidR="003E74D0" w:rsidRPr="003418CD">
              <w:rPr>
                <w:rStyle w:val="Firstpagetablebold"/>
                <w:b w:val="0"/>
                <w:color w:val="auto"/>
              </w:rPr>
              <w:t>and recommend to Council the establishmen</w:t>
            </w:r>
            <w:r w:rsidR="003418CD" w:rsidRPr="003418CD">
              <w:rPr>
                <w:rStyle w:val="Firstpagetablebold"/>
                <w:b w:val="0"/>
                <w:color w:val="auto"/>
              </w:rPr>
              <w:t>t of budgetary provision of £70</w:t>
            </w:r>
            <w:r w:rsidR="003E74D0" w:rsidRPr="003418CD">
              <w:rPr>
                <w:rStyle w:val="Firstpagetablebold"/>
                <w:b w:val="0"/>
                <w:color w:val="auto"/>
              </w:rPr>
              <w:t>k in respect of the new bids</w:t>
            </w:r>
            <w:r w:rsidR="008A420B">
              <w:rPr>
                <w:rStyle w:val="Firstpagetablebold"/>
                <w:b w:val="0"/>
                <w:color w:val="auto"/>
              </w:rPr>
              <w:t>;</w:t>
            </w:r>
            <w:r w:rsidR="00660B15" w:rsidRPr="003418CD">
              <w:rPr>
                <w:rStyle w:val="Firstpagetablebold"/>
                <w:b w:val="0"/>
                <w:color w:val="auto"/>
              </w:rPr>
              <w:t xml:space="preserve"> </w:t>
            </w:r>
          </w:p>
          <w:p w14:paraId="70DDC187" w14:textId="77777777" w:rsidR="00660B15" w:rsidRDefault="00660B15" w:rsidP="00660B15">
            <w:pPr>
              <w:spacing w:after="0"/>
              <w:ind w:hanging="1071"/>
              <w:rPr>
                <w:rStyle w:val="Firstpagetablebold"/>
                <w:b w:val="0"/>
              </w:rPr>
            </w:pPr>
            <w:r>
              <w:rPr>
                <w:rStyle w:val="Firstpagetablebold"/>
                <w:b w:val="0"/>
              </w:rPr>
              <w:t>5</w:t>
            </w:r>
          </w:p>
          <w:p w14:paraId="065640F2" w14:textId="5A4B48AB" w:rsidR="00660B15" w:rsidRPr="00A52EDD" w:rsidRDefault="00660B15" w:rsidP="00965E39">
            <w:pPr>
              <w:spacing w:after="0"/>
              <w:rPr>
                <w:rStyle w:val="Firstpagetablebold"/>
                <w:b w:val="0"/>
                <w:color w:val="auto"/>
              </w:rPr>
            </w:pPr>
            <w:r w:rsidRPr="008A420B">
              <w:rPr>
                <w:rStyle w:val="Firstpagetablebold"/>
                <w:color w:val="auto"/>
              </w:rPr>
              <w:t>Agree</w:t>
            </w:r>
            <w:r w:rsidRPr="003418CD">
              <w:rPr>
                <w:rStyle w:val="Firstpagetablebold"/>
                <w:b w:val="0"/>
                <w:color w:val="auto"/>
              </w:rPr>
              <w:t xml:space="preserve"> the </w:t>
            </w:r>
            <w:r w:rsidR="00BF25C3">
              <w:rPr>
                <w:rStyle w:val="Firstpagetablebold"/>
                <w:b w:val="0"/>
                <w:color w:val="auto"/>
              </w:rPr>
              <w:t xml:space="preserve">additional </w:t>
            </w:r>
            <w:r w:rsidRPr="003418CD">
              <w:rPr>
                <w:rStyle w:val="Firstpagetablebold"/>
                <w:b w:val="0"/>
                <w:color w:val="auto"/>
              </w:rPr>
              <w:t xml:space="preserve">transfer to the HRA </w:t>
            </w:r>
            <w:r w:rsidR="00EE1B3E">
              <w:rPr>
                <w:rStyle w:val="Firstpagetablebold"/>
                <w:b w:val="0"/>
                <w:color w:val="auto"/>
              </w:rPr>
              <w:t xml:space="preserve">Contributions to HRA Projects </w:t>
            </w:r>
            <w:r w:rsidRPr="003418CD">
              <w:rPr>
                <w:rStyle w:val="Firstpagetablebold"/>
                <w:b w:val="0"/>
                <w:color w:val="auto"/>
              </w:rPr>
              <w:t>Reserve of £</w:t>
            </w:r>
            <w:r w:rsidR="00BF25C3">
              <w:rPr>
                <w:rStyle w:val="Firstpagetablebold"/>
                <w:b w:val="0"/>
                <w:color w:val="auto"/>
              </w:rPr>
              <w:t>0.550</w:t>
            </w:r>
            <w:r w:rsidRPr="003418CD">
              <w:rPr>
                <w:rStyle w:val="Firstpagetablebold"/>
                <w:b w:val="0"/>
                <w:color w:val="auto"/>
              </w:rPr>
              <w:t xml:space="preserve"> million detailed </w:t>
            </w:r>
            <w:r w:rsidRPr="00A52EDD">
              <w:rPr>
                <w:rStyle w:val="Firstpagetablebold"/>
                <w:b w:val="0"/>
                <w:color w:val="auto"/>
              </w:rPr>
              <w:t>in paragraph 2 (c)</w:t>
            </w:r>
            <w:r w:rsidR="008A420B">
              <w:rPr>
                <w:rStyle w:val="Firstpagetablebold"/>
                <w:b w:val="0"/>
                <w:color w:val="auto"/>
              </w:rPr>
              <w:t>;</w:t>
            </w:r>
          </w:p>
          <w:p w14:paraId="360642C8" w14:textId="77777777" w:rsidR="00965E39" w:rsidRPr="001356F1" w:rsidRDefault="00660B15" w:rsidP="00660B15">
            <w:pPr>
              <w:spacing w:after="0"/>
              <w:ind w:hanging="1071"/>
            </w:pPr>
            <w:r>
              <w:rPr>
                <w:rStyle w:val="Firstpagetablebold"/>
                <w:b w:val="0"/>
              </w:rPr>
              <w:t>6</w:t>
            </w:r>
          </w:p>
        </w:tc>
      </w:tr>
      <w:tr w:rsidR="0030208D" w:rsidRPr="00975B07" w14:paraId="29B0A36D" w14:textId="77777777" w:rsidTr="00D77751">
        <w:trPr>
          <w:trHeight w:val="80"/>
        </w:trPr>
        <w:tc>
          <w:tcPr>
            <w:tcW w:w="1389" w:type="dxa"/>
            <w:tcBorders>
              <w:top w:val="nil"/>
              <w:left w:val="single" w:sz="8" w:space="0" w:color="000000"/>
              <w:bottom w:val="nil"/>
              <w:right w:val="nil"/>
            </w:tcBorders>
          </w:tcPr>
          <w:p w14:paraId="574AED34" w14:textId="77777777" w:rsidR="0030208D" w:rsidRDefault="00660B15" w:rsidP="003F50F9">
            <w:pPr>
              <w:ind w:left="318"/>
            </w:pPr>
            <w:r>
              <w:t>6</w:t>
            </w:r>
          </w:p>
          <w:p w14:paraId="707AD4BB" w14:textId="77777777" w:rsidR="004C69F1" w:rsidRDefault="004C69F1" w:rsidP="003F50F9">
            <w:pPr>
              <w:ind w:left="318"/>
            </w:pPr>
          </w:p>
          <w:p w14:paraId="0FE4C7BA" w14:textId="77777777" w:rsidR="008A420B" w:rsidRDefault="008A420B" w:rsidP="003F50F9">
            <w:pPr>
              <w:ind w:left="318"/>
            </w:pPr>
          </w:p>
          <w:p w14:paraId="1905BDC6" w14:textId="333FF8E7" w:rsidR="004C69F1" w:rsidRPr="00975B07" w:rsidRDefault="004C69F1" w:rsidP="003F50F9">
            <w:pPr>
              <w:ind w:left="318"/>
            </w:pPr>
            <w:r>
              <w:t>7</w:t>
            </w:r>
          </w:p>
        </w:tc>
        <w:tc>
          <w:tcPr>
            <w:tcW w:w="7909" w:type="dxa"/>
            <w:gridSpan w:val="2"/>
            <w:tcBorders>
              <w:top w:val="nil"/>
              <w:left w:val="nil"/>
              <w:bottom w:val="nil"/>
              <w:right w:val="single" w:sz="8" w:space="0" w:color="000000"/>
            </w:tcBorders>
            <w:shd w:val="clear" w:color="auto" w:fill="auto"/>
          </w:tcPr>
          <w:p w14:paraId="0E045559" w14:textId="619892B0" w:rsidR="0067298D" w:rsidRDefault="00BF25C3" w:rsidP="00A52EDD">
            <w:pPr>
              <w:spacing w:after="0"/>
              <w:rPr>
                <w:color w:val="auto"/>
              </w:rPr>
            </w:pPr>
            <w:r w:rsidRPr="008A420B">
              <w:rPr>
                <w:b/>
                <w:color w:val="auto"/>
              </w:rPr>
              <w:t>Note</w:t>
            </w:r>
            <w:r w:rsidR="00660B15" w:rsidRPr="003418CD">
              <w:rPr>
                <w:color w:val="auto"/>
              </w:rPr>
              <w:t xml:space="preserve"> the underspend </w:t>
            </w:r>
            <w:r>
              <w:rPr>
                <w:color w:val="auto"/>
              </w:rPr>
              <w:t xml:space="preserve">against the latest budget </w:t>
            </w:r>
            <w:r w:rsidR="00660B15" w:rsidRPr="003418CD">
              <w:rPr>
                <w:color w:val="auto"/>
              </w:rPr>
              <w:t xml:space="preserve">on the </w:t>
            </w:r>
            <w:r w:rsidR="00DB13DB" w:rsidRPr="003418CD">
              <w:rPr>
                <w:color w:val="auto"/>
              </w:rPr>
              <w:t>Capital Programme</w:t>
            </w:r>
            <w:r w:rsidR="003418CD" w:rsidRPr="003418CD">
              <w:rPr>
                <w:color w:val="auto"/>
              </w:rPr>
              <w:t xml:space="preserve"> of </w:t>
            </w:r>
            <w:r w:rsidR="003418CD" w:rsidRPr="0089175C">
              <w:rPr>
                <w:color w:val="auto"/>
              </w:rPr>
              <w:t>£</w:t>
            </w:r>
            <w:r w:rsidR="00F50468">
              <w:rPr>
                <w:color w:val="auto"/>
              </w:rPr>
              <w:t>636</w:t>
            </w:r>
            <w:r w:rsidR="00660B15" w:rsidRPr="00A52EDD">
              <w:rPr>
                <w:color w:val="auto"/>
              </w:rPr>
              <w:t xml:space="preserve">k detailed in </w:t>
            </w:r>
            <w:r w:rsidR="00A52EDD">
              <w:rPr>
                <w:color w:val="auto"/>
              </w:rPr>
              <w:t>appendix B</w:t>
            </w:r>
            <w:r w:rsidRPr="00A52EDD">
              <w:rPr>
                <w:color w:val="auto"/>
              </w:rPr>
              <w:t xml:space="preserve">, the </w:t>
            </w:r>
            <w:r w:rsidRPr="00BF25C3">
              <w:rPr>
                <w:color w:val="auto"/>
              </w:rPr>
              <w:t>funding for which will be</w:t>
            </w:r>
            <w:r w:rsidR="00660B15" w:rsidRPr="00BF25C3">
              <w:rPr>
                <w:color w:val="auto"/>
              </w:rPr>
              <w:t xml:space="preserve"> returned to </w:t>
            </w:r>
            <w:r w:rsidRPr="00BF25C3">
              <w:rPr>
                <w:color w:val="auto"/>
              </w:rPr>
              <w:t>C</w:t>
            </w:r>
            <w:r w:rsidR="00660B15" w:rsidRPr="00BF25C3">
              <w:rPr>
                <w:color w:val="auto"/>
              </w:rPr>
              <w:t xml:space="preserve">apital </w:t>
            </w:r>
            <w:r w:rsidR="00DB13DB" w:rsidRPr="00BF25C3">
              <w:rPr>
                <w:color w:val="auto"/>
              </w:rPr>
              <w:t xml:space="preserve">Financing </w:t>
            </w:r>
            <w:r>
              <w:rPr>
                <w:color w:val="auto"/>
              </w:rPr>
              <w:t>Resources</w:t>
            </w:r>
            <w:r w:rsidR="008A420B">
              <w:rPr>
                <w:color w:val="auto"/>
              </w:rPr>
              <w:t>; and</w:t>
            </w:r>
          </w:p>
          <w:p w14:paraId="2093CE37" w14:textId="77777777" w:rsidR="008A420B" w:rsidRDefault="008A420B" w:rsidP="00A52EDD">
            <w:pPr>
              <w:spacing w:after="0"/>
              <w:rPr>
                <w:color w:val="auto"/>
              </w:rPr>
            </w:pPr>
          </w:p>
          <w:p w14:paraId="0C4E0F61" w14:textId="77D59856" w:rsidR="004C69F1" w:rsidRPr="00660B15" w:rsidRDefault="004C69F1" w:rsidP="004C69F1">
            <w:pPr>
              <w:spacing w:after="0"/>
            </w:pPr>
            <w:r>
              <w:t xml:space="preserve">Agree to allow </w:t>
            </w:r>
            <w:r w:rsidR="00EC4A78">
              <w:t xml:space="preserve">the </w:t>
            </w:r>
            <w:r>
              <w:t>roll forward of all CIL related allocat</w:t>
            </w:r>
            <w:r w:rsidR="00ED0A5F">
              <w:t>ions, totalling £130k in 2018/19</w:t>
            </w:r>
            <w:r>
              <w:t>, detail</w:t>
            </w:r>
            <w:r w:rsidR="00EC4A78">
              <w:t>ed</w:t>
            </w:r>
            <w:r>
              <w:t xml:space="preserve"> in paragraph </w:t>
            </w:r>
            <w:r w:rsidR="00EC4A78">
              <w:t>9.</w:t>
            </w:r>
            <w:bookmarkStart w:id="0" w:name="_GoBack"/>
            <w:bookmarkEnd w:id="0"/>
          </w:p>
        </w:tc>
      </w:tr>
      <w:tr w:rsidR="00232F5B" w:rsidRPr="00975B07" w14:paraId="7AD940FE" w14:textId="77777777" w:rsidTr="00BD3A56">
        <w:trPr>
          <w:trHeight w:val="80"/>
        </w:trPr>
        <w:tc>
          <w:tcPr>
            <w:tcW w:w="1389" w:type="dxa"/>
            <w:tcBorders>
              <w:top w:val="nil"/>
              <w:left w:val="single" w:sz="8" w:space="0" w:color="000000"/>
              <w:bottom w:val="single" w:sz="8" w:space="0" w:color="000000"/>
              <w:right w:val="nil"/>
            </w:tcBorders>
          </w:tcPr>
          <w:p w14:paraId="787A665C" w14:textId="77777777"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14:paraId="0AB5C87E" w14:textId="77777777" w:rsidR="0030208D" w:rsidRPr="00A85B0E" w:rsidRDefault="0030208D" w:rsidP="000917F9">
            <w:pPr>
              <w:spacing w:before="120"/>
            </w:pPr>
          </w:p>
        </w:tc>
      </w:tr>
    </w:tbl>
    <w:p w14:paraId="7B9F4B74"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14ED1811"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91E92A9" w14:textId="77777777" w:rsidR="00966D42" w:rsidRPr="00975B07" w:rsidRDefault="00966D42" w:rsidP="00263EA3">
            <w:pPr>
              <w:jc w:val="center"/>
            </w:pPr>
            <w:r w:rsidRPr="00745BF0">
              <w:rPr>
                <w:rStyle w:val="Firstpagetablebold"/>
              </w:rPr>
              <w:t>Appendices</w:t>
            </w:r>
          </w:p>
        </w:tc>
      </w:tr>
      <w:tr w:rsidR="0030208D" w:rsidRPr="00975B07" w14:paraId="0C67DB6D" w14:textId="77777777" w:rsidTr="00A85B0E">
        <w:tc>
          <w:tcPr>
            <w:tcW w:w="2438" w:type="dxa"/>
            <w:tcBorders>
              <w:top w:val="nil"/>
              <w:left w:val="single" w:sz="8" w:space="0" w:color="000000"/>
              <w:bottom w:val="nil"/>
              <w:right w:val="nil"/>
            </w:tcBorders>
            <w:shd w:val="clear" w:color="auto" w:fill="auto"/>
          </w:tcPr>
          <w:p w14:paraId="66C10044" w14:textId="77777777" w:rsidR="003E75E2" w:rsidRPr="00975B07" w:rsidRDefault="003E75E2" w:rsidP="004A6D2F"/>
        </w:tc>
        <w:tc>
          <w:tcPr>
            <w:tcW w:w="6918" w:type="dxa"/>
            <w:tcBorders>
              <w:top w:val="nil"/>
              <w:left w:val="nil"/>
              <w:bottom w:val="nil"/>
              <w:right w:val="single" w:sz="8" w:space="0" w:color="000000"/>
            </w:tcBorders>
          </w:tcPr>
          <w:p w14:paraId="15342478" w14:textId="77777777" w:rsidR="003E75E2" w:rsidRPr="001356F1" w:rsidRDefault="003E75E2" w:rsidP="004A6D2F"/>
        </w:tc>
      </w:tr>
      <w:tr w:rsidR="0030208D" w:rsidRPr="00975B07" w14:paraId="3BE0B2E5" w14:textId="77777777" w:rsidTr="00A85B0E">
        <w:tc>
          <w:tcPr>
            <w:tcW w:w="2438" w:type="dxa"/>
            <w:tcBorders>
              <w:top w:val="nil"/>
              <w:left w:val="single" w:sz="8" w:space="0" w:color="000000"/>
              <w:bottom w:val="single" w:sz="8" w:space="0" w:color="000000"/>
              <w:right w:val="nil"/>
            </w:tcBorders>
            <w:shd w:val="clear" w:color="auto" w:fill="auto"/>
          </w:tcPr>
          <w:p w14:paraId="0759912F" w14:textId="77777777" w:rsidR="00FB70AC" w:rsidRDefault="00964187" w:rsidP="004A6D2F">
            <w:r>
              <w:t xml:space="preserve">Appendix </w:t>
            </w:r>
            <w:r w:rsidR="003F50F9">
              <w:t>A</w:t>
            </w:r>
          </w:p>
          <w:p w14:paraId="12236E7A" w14:textId="77777777" w:rsidR="00FB70AC" w:rsidRDefault="00FD4134" w:rsidP="004A6D2F">
            <w:r>
              <w:t>Appendix B</w:t>
            </w:r>
          </w:p>
          <w:p w14:paraId="7451ECD9" w14:textId="77777777" w:rsidR="00FB70AC" w:rsidRDefault="00FB70AC" w:rsidP="004B5708">
            <w:r>
              <w:t xml:space="preserve">Appendix </w:t>
            </w:r>
            <w:r w:rsidR="00FD4134">
              <w:t>C</w:t>
            </w:r>
          </w:p>
          <w:p w14:paraId="05F83952" w14:textId="77777777" w:rsidR="006B6ED9" w:rsidRDefault="00FD4134" w:rsidP="007333C3">
            <w:r>
              <w:t>Appendix D</w:t>
            </w:r>
          </w:p>
          <w:p w14:paraId="1EBBB544" w14:textId="77777777" w:rsidR="00953A87" w:rsidRDefault="00953A87" w:rsidP="007333C3">
            <w:r>
              <w:t>Appendix E</w:t>
            </w:r>
          </w:p>
          <w:p w14:paraId="2225A734" w14:textId="77777777" w:rsidR="00953A87" w:rsidRDefault="00953A87" w:rsidP="007333C3">
            <w:r>
              <w:t>Appendix F</w:t>
            </w:r>
          </w:p>
          <w:p w14:paraId="198C43E5" w14:textId="77777777" w:rsidR="007333C3" w:rsidRPr="00975B07" w:rsidRDefault="007333C3" w:rsidP="00D8272F"/>
        </w:tc>
        <w:tc>
          <w:tcPr>
            <w:tcW w:w="6918" w:type="dxa"/>
            <w:tcBorders>
              <w:top w:val="nil"/>
              <w:left w:val="nil"/>
              <w:bottom w:val="single" w:sz="8" w:space="0" w:color="000000"/>
              <w:right w:val="single" w:sz="8" w:space="0" w:color="000000"/>
            </w:tcBorders>
          </w:tcPr>
          <w:p w14:paraId="35155F0A" w14:textId="77777777" w:rsidR="00A91B9B" w:rsidRDefault="00965E39" w:rsidP="00A91B9B">
            <w:r>
              <w:t>General Fund Outturn</w:t>
            </w:r>
          </w:p>
          <w:p w14:paraId="0FEBDAFA" w14:textId="77777777" w:rsidR="00A91B9B" w:rsidRDefault="00965E39" w:rsidP="00A91B9B">
            <w:r>
              <w:t>Capital Programme</w:t>
            </w:r>
            <w:r w:rsidR="00A91B9B">
              <w:t xml:space="preserve"> Outturn</w:t>
            </w:r>
          </w:p>
          <w:p w14:paraId="663C6237" w14:textId="77777777" w:rsidR="00A91B9B" w:rsidRDefault="00965E39" w:rsidP="00A91B9B">
            <w:r>
              <w:t>HRA</w:t>
            </w:r>
            <w:r w:rsidR="00A91B9B">
              <w:t xml:space="preserve"> Outturn</w:t>
            </w:r>
          </w:p>
          <w:p w14:paraId="3590B711" w14:textId="77777777" w:rsidR="00304AD6" w:rsidRDefault="00965E39" w:rsidP="004D73C5">
            <w:pPr>
              <w:tabs>
                <w:tab w:val="left" w:pos="2160"/>
              </w:tabs>
            </w:pPr>
            <w:r>
              <w:t xml:space="preserve">Carry Forward </w:t>
            </w:r>
            <w:r w:rsidR="00953A87">
              <w:t>Requests and New Bids</w:t>
            </w:r>
          </w:p>
          <w:p w14:paraId="0BCBCDE9" w14:textId="77777777" w:rsidR="00953A87" w:rsidRDefault="00953A87" w:rsidP="004D73C5">
            <w:pPr>
              <w:tabs>
                <w:tab w:val="left" w:pos="2160"/>
              </w:tabs>
            </w:pPr>
            <w:r>
              <w:t>Corporate Risks</w:t>
            </w:r>
          </w:p>
          <w:p w14:paraId="24A7291B" w14:textId="77777777" w:rsidR="00953A87" w:rsidRPr="00964187" w:rsidRDefault="001E373D" w:rsidP="008159AF">
            <w:pPr>
              <w:tabs>
                <w:tab w:val="left" w:pos="2160"/>
              </w:tabs>
            </w:pPr>
            <w:r>
              <w:t>Corporate Performance Outturn</w:t>
            </w:r>
          </w:p>
        </w:tc>
      </w:tr>
    </w:tbl>
    <w:p w14:paraId="363BDCF9" w14:textId="77777777" w:rsidR="00BD3A56" w:rsidRDefault="00BD3A56" w:rsidP="004A6D2F">
      <w:pPr>
        <w:pStyle w:val="Heading1"/>
        <w:rPr>
          <w:color w:val="auto"/>
        </w:rPr>
      </w:pPr>
    </w:p>
    <w:p w14:paraId="319917DF" w14:textId="77777777" w:rsidR="0040736F" w:rsidRPr="00076268" w:rsidRDefault="00121043" w:rsidP="004A6D2F">
      <w:pPr>
        <w:pStyle w:val="Heading1"/>
        <w:rPr>
          <w:color w:val="auto"/>
        </w:rPr>
      </w:pPr>
      <w:r w:rsidRPr="00076268">
        <w:rPr>
          <w:color w:val="auto"/>
        </w:rPr>
        <w:t>I</w:t>
      </w:r>
      <w:r w:rsidR="00F66DCA" w:rsidRPr="00076268">
        <w:rPr>
          <w:color w:val="auto"/>
        </w:rPr>
        <w:t>ntroduction and b</w:t>
      </w:r>
      <w:r w:rsidR="00151888" w:rsidRPr="00076268">
        <w:rPr>
          <w:color w:val="auto"/>
        </w:rPr>
        <w:t>ackground</w:t>
      </w:r>
      <w:r w:rsidR="00404032" w:rsidRPr="00076268">
        <w:rPr>
          <w:color w:val="auto"/>
        </w:rPr>
        <w:t xml:space="preserve"> </w:t>
      </w:r>
    </w:p>
    <w:p w14:paraId="59359090" w14:textId="77777777" w:rsidR="00FB70AC" w:rsidRPr="00076268" w:rsidRDefault="00FB70AC" w:rsidP="00FB70AC">
      <w:pPr>
        <w:pStyle w:val="ListParagraph"/>
        <w:rPr>
          <w:color w:val="auto"/>
        </w:rPr>
      </w:pPr>
      <w:r w:rsidRPr="00076268">
        <w:rPr>
          <w:color w:val="auto"/>
        </w:rPr>
        <w:t xml:space="preserve">This report </w:t>
      </w:r>
      <w:r w:rsidR="007333C3" w:rsidRPr="00076268">
        <w:rPr>
          <w:color w:val="auto"/>
        </w:rPr>
        <w:t xml:space="preserve">updates the Board on </w:t>
      </w:r>
      <w:r w:rsidR="00B732B4">
        <w:rPr>
          <w:color w:val="auto"/>
        </w:rPr>
        <w:t xml:space="preserve">the </w:t>
      </w:r>
      <w:r w:rsidR="00953A87">
        <w:rPr>
          <w:color w:val="auto"/>
        </w:rPr>
        <w:t>per</w:t>
      </w:r>
      <w:r w:rsidR="00D8272F">
        <w:rPr>
          <w:color w:val="auto"/>
        </w:rPr>
        <w:t>formance of the Council for 2017/18</w:t>
      </w:r>
      <w:r w:rsidR="00953A87">
        <w:rPr>
          <w:color w:val="auto"/>
        </w:rPr>
        <w:t xml:space="preserve"> together with </w:t>
      </w:r>
      <w:r w:rsidR="00673910">
        <w:rPr>
          <w:color w:val="auto"/>
        </w:rPr>
        <w:t>the</w:t>
      </w:r>
      <w:r w:rsidR="00953A87">
        <w:rPr>
          <w:color w:val="auto"/>
        </w:rPr>
        <w:t xml:space="preserve"> corporate and service</w:t>
      </w:r>
      <w:r w:rsidR="00910E25">
        <w:rPr>
          <w:color w:val="auto"/>
        </w:rPr>
        <w:t xml:space="preserve"> risks faced as at 31 March 2018</w:t>
      </w:r>
      <w:r w:rsidR="00953A87">
        <w:rPr>
          <w:color w:val="auto"/>
        </w:rPr>
        <w:t>.  A brief summary is as follows</w:t>
      </w:r>
      <w:r w:rsidRPr="00076268">
        <w:rPr>
          <w:color w:val="auto"/>
        </w:rPr>
        <w:t>:</w:t>
      </w:r>
    </w:p>
    <w:p w14:paraId="76F7DA3F" w14:textId="77777777" w:rsidR="00FB70AC" w:rsidRPr="00BB796D" w:rsidRDefault="002A15EC" w:rsidP="00FB70AC">
      <w:pPr>
        <w:pStyle w:val="ListParagraph"/>
        <w:rPr>
          <w:color w:val="auto"/>
        </w:rPr>
      </w:pPr>
      <w:r w:rsidRPr="00BB796D">
        <w:rPr>
          <w:b/>
          <w:color w:val="auto"/>
        </w:rPr>
        <w:t>Financial</w:t>
      </w:r>
      <w:r w:rsidRPr="00BB796D">
        <w:rPr>
          <w:color w:val="auto"/>
        </w:rPr>
        <w:t xml:space="preserve"> </w:t>
      </w:r>
      <w:r w:rsidR="006C483B" w:rsidRPr="00BB796D">
        <w:rPr>
          <w:b/>
          <w:color w:val="auto"/>
        </w:rPr>
        <w:t>Position</w:t>
      </w:r>
    </w:p>
    <w:p w14:paraId="1D7C9F58" w14:textId="3E053278" w:rsidR="00136FB7" w:rsidRPr="009A1D16" w:rsidRDefault="00C2674F" w:rsidP="009A1D16">
      <w:pPr>
        <w:pStyle w:val="ListParagraph"/>
        <w:numPr>
          <w:ilvl w:val="1"/>
          <w:numId w:val="2"/>
        </w:numPr>
        <w:rPr>
          <w:color w:val="auto"/>
        </w:rPr>
      </w:pPr>
      <w:r w:rsidRPr="00BB796D">
        <w:rPr>
          <w:rFonts w:cs="Arial"/>
          <w:b/>
          <w:color w:val="auto"/>
        </w:rPr>
        <w:t>General Fund</w:t>
      </w:r>
      <w:r w:rsidRPr="00BB796D">
        <w:rPr>
          <w:rFonts w:cs="Arial"/>
          <w:color w:val="auto"/>
        </w:rPr>
        <w:t xml:space="preserve"> –</w:t>
      </w:r>
      <w:r w:rsidR="00C72FE8" w:rsidRPr="00BB796D">
        <w:rPr>
          <w:rFonts w:cs="Arial"/>
          <w:color w:val="auto"/>
        </w:rPr>
        <w:t xml:space="preserve"> The surplus on the General Fund is £</w:t>
      </w:r>
      <w:r w:rsidR="00CF62B2">
        <w:rPr>
          <w:rFonts w:cs="Arial"/>
          <w:color w:val="auto"/>
        </w:rPr>
        <w:t>0.533</w:t>
      </w:r>
      <w:r w:rsidR="00C72FE8" w:rsidRPr="009A1D16">
        <w:rPr>
          <w:rFonts w:cs="Arial"/>
          <w:color w:val="auto"/>
        </w:rPr>
        <w:t xml:space="preserve"> million</w:t>
      </w:r>
      <w:r w:rsidR="00CF62B2">
        <w:rPr>
          <w:rFonts w:cs="Arial"/>
          <w:color w:val="auto"/>
        </w:rPr>
        <w:t xml:space="preserve"> (2.53</w:t>
      </w:r>
      <w:r w:rsidR="00557303">
        <w:rPr>
          <w:rFonts w:cs="Arial"/>
          <w:color w:val="auto"/>
        </w:rPr>
        <w:t>% of the Net Budget Requirement of £21.056 million)</w:t>
      </w:r>
      <w:r w:rsidR="00C72FE8" w:rsidRPr="009A1D16">
        <w:rPr>
          <w:rFonts w:cs="Arial"/>
          <w:color w:val="auto"/>
        </w:rPr>
        <w:t xml:space="preserve">, </w:t>
      </w:r>
      <w:r w:rsidR="00BF25C3" w:rsidRPr="009A1D16">
        <w:rPr>
          <w:rFonts w:cs="Arial"/>
          <w:color w:val="auto"/>
        </w:rPr>
        <w:t>after allowing for carry forwards to reserves of £</w:t>
      </w:r>
      <w:r w:rsidR="00BB796D" w:rsidRPr="009A1D16">
        <w:rPr>
          <w:rFonts w:cs="Arial"/>
          <w:color w:val="auto"/>
        </w:rPr>
        <w:t>0.</w:t>
      </w:r>
      <w:r w:rsidR="00CF62B2">
        <w:rPr>
          <w:rFonts w:cs="Arial"/>
          <w:color w:val="auto"/>
        </w:rPr>
        <w:t>704</w:t>
      </w:r>
      <w:r w:rsidR="00BB796D" w:rsidRPr="009A1D16">
        <w:rPr>
          <w:rFonts w:cs="Arial"/>
          <w:color w:val="auto"/>
        </w:rPr>
        <w:t xml:space="preserve"> </w:t>
      </w:r>
      <w:r w:rsidR="004D0FD0" w:rsidRPr="009A1D16">
        <w:rPr>
          <w:rFonts w:cs="Arial"/>
          <w:color w:val="auto"/>
        </w:rPr>
        <w:t>million</w:t>
      </w:r>
      <w:r w:rsidR="00BF25C3" w:rsidRPr="009A1D16">
        <w:rPr>
          <w:rFonts w:cs="Arial"/>
          <w:color w:val="auto"/>
        </w:rPr>
        <w:t>.  O</w:t>
      </w:r>
      <w:r w:rsidR="00C72FE8" w:rsidRPr="009A1D16">
        <w:rPr>
          <w:rFonts w:cs="Arial"/>
          <w:color w:val="auto"/>
        </w:rPr>
        <w:t>f this</w:t>
      </w:r>
      <w:r w:rsidR="00BF25C3" w:rsidRPr="009A1D16">
        <w:rPr>
          <w:rFonts w:cs="Arial"/>
          <w:color w:val="auto"/>
        </w:rPr>
        <w:t xml:space="preserve"> carry forward amount £0.34</w:t>
      </w:r>
      <w:r w:rsidR="00627D0F">
        <w:rPr>
          <w:rFonts w:cs="Arial"/>
          <w:color w:val="auto"/>
        </w:rPr>
        <w:t>0</w:t>
      </w:r>
      <w:r w:rsidR="00BF25C3" w:rsidRPr="009A1D16">
        <w:rPr>
          <w:rFonts w:cs="Arial"/>
          <w:color w:val="auto"/>
        </w:rPr>
        <w:t xml:space="preserve"> million</w:t>
      </w:r>
      <w:r w:rsidR="00C72FE8" w:rsidRPr="009A1D16">
        <w:rPr>
          <w:rFonts w:cs="Arial"/>
          <w:color w:val="auto"/>
        </w:rPr>
        <w:t xml:space="preserve"> i</w:t>
      </w:r>
      <w:r w:rsidR="00BB796D" w:rsidRPr="009A1D16">
        <w:rPr>
          <w:rFonts w:cs="Arial"/>
          <w:color w:val="auto"/>
        </w:rPr>
        <w:t xml:space="preserve">s </w:t>
      </w:r>
      <w:r w:rsidR="00CF62B2">
        <w:rPr>
          <w:rFonts w:cs="Arial"/>
          <w:color w:val="auto"/>
        </w:rPr>
        <w:t>for committed schemes and £0.364</w:t>
      </w:r>
      <w:r w:rsidR="00C72FE8" w:rsidRPr="009A1D16">
        <w:rPr>
          <w:rFonts w:cs="Arial"/>
          <w:color w:val="auto"/>
        </w:rPr>
        <w:t xml:space="preserve"> million is for new schemes.  </w:t>
      </w:r>
      <w:r w:rsidR="006E68D7">
        <w:rPr>
          <w:rFonts w:cs="Arial"/>
          <w:color w:val="auto"/>
        </w:rPr>
        <w:t xml:space="preserve">The biggest driver of the </w:t>
      </w:r>
      <w:r w:rsidR="0024230D">
        <w:rPr>
          <w:rFonts w:cs="Arial"/>
          <w:color w:val="auto"/>
        </w:rPr>
        <w:t>surplus</w:t>
      </w:r>
      <w:r w:rsidR="006E68D7">
        <w:rPr>
          <w:rFonts w:cs="Arial"/>
          <w:color w:val="auto"/>
        </w:rPr>
        <w:t xml:space="preserve"> is over-achievement of income.  </w:t>
      </w:r>
      <w:r w:rsidR="00C72FE8" w:rsidRPr="009A1D16">
        <w:rPr>
          <w:rFonts w:cs="Arial"/>
          <w:color w:val="auto"/>
        </w:rPr>
        <w:t>If these carry forwards are agreed</w:t>
      </w:r>
      <w:r w:rsidRPr="009A1D16">
        <w:rPr>
          <w:rFonts w:cs="Arial"/>
          <w:color w:val="auto"/>
        </w:rPr>
        <w:t xml:space="preserve"> </w:t>
      </w:r>
      <w:r w:rsidR="004D0FD0" w:rsidRPr="009A1D16">
        <w:rPr>
          <w:rFonts w:cs="Arial"/>
          <w:color w:val="auto"/>
        </w:rPr>
        <w:t>in</w:t>
      </w:r>
      <w:r w:rsidR="009A1D16">
        <w:rPr>
          <w:rFonts w:cs="Arial"/>
          <w:color w:val="auto"/>
        </w:rPr>
        <w:t xml:space="preserve"> line with the recommendation, </w:t>
      </w:r>
      <w:r w:rsidR="00B80341" w:rsidRPr="009A1D16">
        <w:rPr>
          <w:rFonts w:cs="Arial"/>
          <w:color w:val="auto"/>
        </w:rPr>
        <w:t xml:space="preserve">the remaining </w:t>
      </w:r>
      <w:r w:rsidR="00E8497C" w:rsidRPr="009A1D16">
        <w:rPr>
          <w:rFonts w:cs="Arial"/>
          <w:color w:val="auto"/>
        </w:rPr>
        <w:t xml:space="preserve"> £0.</w:t>
      </w:r>
      <w:r w:rsidR="00CC07C2">
        <w:rPr>
          <w:rFonts w:cs="Arial"/>
          <w:color w:val="auto"/>
        </w:rPr>
        <w:t>548</w:t>
      </w:r>
      <w:r w:rsidR="00E8497C" w:rsidRPr="009A1D16">
        <w:rPr>
          <w:rFonts w:cs="Arial"/>
          <w:color w:val="auto"/>
        </w:rPr>
        <w:t xml:space="preserve"> million </w:t>
      </w:r>
      <w:r w:rsidR="00C72FE8" w:rsidRPr="009A1D16">
        <w:rPr>
          <w:rFonts w:cs="Arial"/>
          <w:color w:val="auto"/>
        </w:rPr>
        <w:t xml:space="preserve">will be </w:t>
      </w:r>
      <w:r w:rsidR="008159AF" w:rsidRPr="009A1D16">
        <w:rPr>
          <w:rFonts w:cs="Arial"/>
          <w:color w:val="auto"/>
        </w:rPr>
        <w:t>transferred to the Capital Financing Reserve</w:t>
      </w:r>
      <w:r w:rsidR="00BB796D" w:rsidRPr="009A1D16">
        <w:rPr>
          <w:rFonts w:cs="Arial"/>
          <w:color w:val="auto"/>
        </w:rPr>
        <w:t xml:space="preserve"> to fund future capital expenditure</w:t>
      </w:r>
      <w:r w:rsidR="00E141C6" w:rsidRPr="009A1D16">
        <w:rPr>
          <w:rFonts w:cs="Arial"/>
          <w:color w:val="auto"/>
        </w:rPr>
        <w:t>;</w:t>
      </w:r>
    </w:p>
    <w:p w14:paraId="50F9C191" w14:textId="77777777" w:rsidR="00BB796D" w:rsidRPr="00BB796D" w:rsidRDefault="00953A87" w:rsidP="006C6A27">
      <w:pPr>
        <w:pStyle w:val="ListParagraph"/>
        <w:numPr>
          <w:ilvl w:val="1"/>
          <w:numId w:val="2"/>
        </w:numPr>
        <w:rPr>
          <w:color w:val="auto"/>
        </w:rPr>
      </w:pPr>
      <w:r w:rsidRPr="00BB796D">
        <w:rPr>
          <w:rFonts w:cs="Arial"/>
          <w:b/>
          <w:color w:val="auto"/>
        </w:rPr>
        <w:t xml:space="preserve">Efficiencies, Fees and Charges and Service Reduction Targets </w:t>
      </w:r>
      <w:r w:rsidRPr="00BB796D">
        <w:rPr>
          <w:color w:val="auto"/>
        </w:rPr>
        <w:t>– at year end the actual</w:t>
      </w:r>
      <w:r w:rsidR="006E68D7">
        <w:rPr>
          <w:color w:val="auto"/>
        </w:rPr>
        <w:t xml:space="preserve"> sum</w:t>
      </w:r>
      <w:r w:rsidRPr="00BB796D">
        <w:rPr>
          <w:color w:val="auto"/>
        </w:rPr>
        <w:t xml:space="preserve"> </w:t>
      </w:r>
      <w:r w:rsidR="00BB796D">
        <w:rPr>
          <w:color w:val="auto"/>
        </w:rPr>
        <w:t>is</w:t>
      </w:r>
      <w:r w:rsidR="00BB796D" w:rsidRPr="00BB796D">
        <w:rPr>
          <w:color w:val="auto"/>
        </w:rPr>
        <w:t xml:space="preserve"> on target at </w:t>
      </w:r>
      <w:r w:rsidRPr="00BB796D">
        <w:rPr>
          <w:color w:val="auto"/>
        </w:rPr>
        <w:t>£1,</w:t>
      </w:r>
      <w:r w:rsidR="00BB796D" w:rsidRPr="00BB796D">
        <w:rPr>
          <w:color w:val="auto"/>
        </w:rPr>
        <w:t>558</w:t>
      </w:r>
      <w:r w:rsidRPr="00BB796D">
        <w:rPr>
          <w:color w:val="auto"/>
        </w:rPr>
        <w:t>,</w:t>
      </w:r>
      <w:r w:rsidR="00BB796D" w:rsidRPr="00BB796D">
        <w:rPr>
          <w:color w:val="auto"/>
        </w:rPr>
        <w:t>498.</w:t>
      </w:r>
    </w:p>
    <w:p w14:paraId="1883C646" w14:textId="77777777" w:rsidR="001121C1" w:rsidRPr="00884F2C" w:rsidRDefault="00C2674F" w:rsidP="006C6A27">
      <w:pPr>
        <w:pStyle w:val="ListParagraph"/>
        <w:numPr>
          <w:ilvl w:val="1"/>
          <w:numId w:val="2"/>
        </w:numPr>
        <w:rPr>
          <w:color w:val="auto"/>
        </w:rPr>
      </w:pPr>
      <w:r w:rsidRPr="00884F2C">
        <w:rPr>
          <w:b/>
          <w:color w:val="auto"/>
        </w:rPr>
        <w:t>Housing Revenue Account</w:t>
      </w:r>
      <w:r w:rsidRPr="00884F2C">
        <w:rPr>
          <w:color w:val="auto"/>
        </w:rPr>
        <w:t xml:space="preserve"> – </w:t>
      </w:r>
      <w:r w:rsidR="00C72FE8" w:rsidRPr="00884F2C">
        <w:rPr>
          <w:color w:val="auto"/>
        </w:rPr>
        <w:t>The surplus on the HRA is £</w:t>
      </w:r>
      <w:r w:rsidR="0084531E">
        <w:rPr>
          <w:color w:val="auto"/>
        </w:rPr>
        <w:t>6.170</w:t>
      </w:r>
      <w:r w:rsidR="00BB090E">
        <w:rPr>
          <w:color w:val="auto"/>
        </w:rPr>
        <w:t xml:space="preserve"> million</w:t>
      </w:r>
      <w:r w:rsidR="009C409F">
        <w:rPr>
          <w:color w:val="auto"/>
        </w:rPr>
        <w:t xml:space="preserve">, after allowing for carry forwards of </w:t>
      </w:r>
      <w:r w:rsidR="00BB090E">
        <w:rPr>
          <w:color w:val="auto"/>
        </w:rPr>
        <w:t>£</w:t>
      </w:r>
      <w:r w:rsidR="009C409F">
        <w:rPr>
          <w:color w:val="auto"/>
        </w:rPr>
        <w:t>0</w:t>
      </w:r>
      <w:r w:rsidR="00BB090E">
        <w:rPr>
          <w:color w:val="auto"/>
        </w:rPr>
        <w:t>.</w:t>
      </w:r>
      <w:r w:rsidR="009C409F">
        <w:rPr>
          <w:color w:val="auto"/>
        </w:rPr>
        <w:t>495</w:t>
      </w:r>
      <w:r w:rsidR="00C72FE8" w:rsidRPr="00884F2C">
        <w:rPr>
          <w:color w:val="auto"/>
        </w:rPr>
        <w:t xml:space="preserve"> million</w:t>
      </w:r>
      <w:r w:rsidR="00BB090E">
        <w:rPr>
          <w:color w:val="auto"/>
        </w:rPr>
        <w:t xml:space="preserve"> </w:t>
      </w:r>
      <w:r w:rsidR="009C409F">
        <w:rPr>
          <w:color w:val="auto"/>
        </w:rPr>
        <w:t>against t</w:t>
      </w:r>
      <w:r w:rsidR="00BB796D" w:rsidRPr="00884F2C">
        <w:rPr>
          <w:color w:val="auto"/>
        </w:rPr>
        <w:t>he original budget of £</w:t>
      </w:r>
      <w:r w:rsidR="00884F2C" w:rsidRPr="00884F2C">
        <w:rPr>
          <w:color w:val="auto"/>
        </w:rPr>
        <w:t>5.619</w:t>
      </w:r>
      <w:r w:rsidR="00BB796D" w:rsidRPr="00884F2C">
        <w:rPr>
          <w:color w:val="auto"/>
        </w:rPr>
        <w:t xml:space="preserve"> million.</w:t>
      </w:r>
      <w:r w:rsidR="00BB090E">
        <w:rPr>
          <w:color w:val="auto"/>
        </w:rPr>
        <w:t xml:space="preserve"> </w:t>
      </w:r>
      <w:r w:rsidR="009C409F">
        <w:rPr>
          <w:color w:val="auto"/>
        </w:rPr>
        <w:t>This represents a favourable variation of £0.550 million</w:t>
      </w:r>
      <w:r w:rsidR="00557303">
        <w:rPr>
          <w:color w:val="auto"/>
        </w:rPr>
        <w:t xml:space="preserve"> (9.81% of the Budgeted surplus of £5.619 million)</w:t>
      </w:r>
      <w:r w:rsidR="009A1D16">
        <w:rPr>
          <w:color w:val="auto"/>
        </w:rPr>
        <w:t>.</w:t>
      </w:r>
      <w:r w:rsidR="009C409F">
        <w:rPr>
          <w:color w:val="auto"/>
        </w:rPr>
        <w:t xml:space="preserve"> </w:t>
      </w:r>
      <w:r w:rsidR="009A1D16">
        <w:rPr>
          <w:color w:val="auto"/>
        </w:rPr>
        <w:t>C</w:t>
      </w:r>
      <w:r w:rsidR="009C409F">
        <w:rPr>
          <w:color w:val="auto"/>
        </w:rPr>
        <w:t xml:space="preserve">arry forward requested </w:t>
      </w:r>
      <w:r w:rsidR="00884F2C" w:rsidRPr="00884F2C">
        <w:rPr>
          <w:color w:val="auto"/>
        </w:rPr>
        <w:t xml:space="preserve">£0.425 million </w:t>
      </w:r>
      <w:r w:rsidR="009C409F">
        <w:rPr>
          <w:color w:val="auto"/>
        </w:rPr>
        <w:t xml:space="preserve">is </w:t>
      </w:r>
      <w:r w:rsidR="00884F2C" w:rsidRPr="00884F2C">
        <w:rPr>
          <w:color w:val="auto"/>
        </w:rPr>
        <w:t xml:space="preserve">for committed schemes and £0.070 million as a new bid.  </w:t>
      </w:r>
      <w:r w:rsidR="006C6A27" w:rsidRPr="00884F2C">
        <w:rPr>
          <w:color w:val="auto"/>
        </w:rPr>
        <w:t xml:space="preserve">It is recommended to </w:t>
      </w:r>
      <w:r w:rsidR="00BB796D" w:rsidRPr="00884F2C">
        <w:rPr>
          <w:color w:val="auto"/>
        </w:rPr>
        <w:t xml:space="preserve">transfer </w:t>
      </w:r>
      <w:r w:rsidR="00884F2C" w:rsidRPr="00884F2C">
        <w:rPr>
          <w:color w:val="auto"/>
        </w:rPr>
        <w:t>the</w:t>
      </w:r>
      <w:r w:rsidR="00BB796D" w:rsidRPr="00884F2C">
        <w:rPr>
          <w:color w:val="auto"/>
        </w:rPr>
        <w:t xml:space="preserve"> </w:t>
      </w:r>
      <w:r w:rsidR="00884F2C" w:rsidRPr="00884F2C">
        <w:rPr>
          <w:color w:val="auto"/>
        </w:rPr>
        <w:t>remaining</w:t>
      </w:r>
      <w:r w:rsidR="006C6A27" w:rsidRPr="00884F2C">
        <w:rPr>
          <w:color w:val="auto"/>
        </w:rPr>
        <w:t xml:space="preserve"> amount</w:t>
      </w:r>
      <w:r w:rsidR="00BB090E">
        <w:rPr>
          <w:color w:val="auto"/>
        </w:rPr>
        <w:t xml:space="preserve"> of £0.550</w:t>
      </w:r>
      <w:r w:rsidR="00884F2C" w:rsidRPr="00884F2C">
        <w:rPr>
          <w:color w:val="auto"/>
        </w:rPr>
        <w:t xml:space="preserve"> million</w:t>
      </w:r>
      <w:r w:rsidR="006C6A27" w:rsidRPr="00884F2C">
        <w:rPr>
          <w:color w:val="auto"/>
        </w:rPr>
        <w:t xml:space="preserve"> </w:t>
      </w:r>
      <w:r w:rsidR="00CF4E15" w:rsidRPr="00884F2C">
        <w:rPr>
          <w:color w:val="auto"/>
        </w:rPr>
        <w:t>in</w:t>
      </w:r>
      <w:r w:rsidR="00B80341" w:rsidRPr="00884F2C">
        <w:rPr>
          <w:color w:val="auto"/>
        </w:rPr>
        <w:t xml:space="preserve">to </w:t>
      </w:r>
      <w:r w:rsidR="00BB796D" w:rsidRPr="00884F2C">
        <w:rPr>
          <w:color w:val="auto"/>
        </w:rPr>
        <w:t xml:space="preserve">the </w:t>
      </w:r>
      <w:r w:rsidR="00BB090E">
        <w:rPr>
          <w:color w:val="auto"/>
        </w:rPr>
        <w:t>HRA projects</w:t>
      </w:r>
      <w:r w:rsidR="00BB796D" w:rsidRPr="00884F2C">
        <w:rPr>
          <w:color w:val="auto"/>
        </w:rPr>
        <w:t xml:space="preserve"> reserve.  </w:t>
      </w:r>
      <w:r w:rsidR="006E68D7">
        <w:rPr>
          <w:color w:val="auto"/>
        </w:rPr>
        <w:t>It should be noted that the HRA is setting aside funds to mitigate the impact of the government’s proposed policy of “forced sale” of higher value properties, although that policy has not yet been implemented.</w:t>
      </w:r>
    </w:p>
    <w:p w14:paraId="125A22CE" w14:textId="7AB7350C" w:rsidR="00C2674F" w:rsidRPr="00884F2C" w:rsidRDefault="00C2674F" w:rsidP="002873F1">
      <w:pPr>
        <w:pStyle w:val="ListParagraph"/>
        <w:numPr>
          <w:ilvl w:val="1"/>
          <w:numId w:val="2"/>
        </w:numPr>
        <w:rPr>
          <w:color w:val="auto"/>
        </w:rPr>
      </w:pPr>
      <w:r w:rsidRPr="00884F2C">
        <w:rPr>
          <w:rFonts w:cs="Arial"/>
          <w:b/>
          <w:color w:val="auto"/>
        </w:rPr>
        <w:t>Capital Programme</w:t>
      </w:r>
      <w:r w:rsidRPr="00884F2C">
        <w:rPr>
          <w:rFonts w:cs="Arial"/>
          <w:color w:val="auto"/>
        </w:rPr>
        <w:t xml:space="preserve"> – the </w:t>
      </w:r>
      <w:r w:rsidR="00136EB8" w:rsidRPr="00884F2C">
        <w:rPr>
          <w:rFonts w:cs="Arial"/>
          <w:color w:val="auto"/>
        </w:rPr>
        <w:t xml:space="preserve">outturn </w:t>
      </w:r>
      <w:r w:rsidR="00D3622B" w:rsidRPr="00884F2C">
        <w:rPr>
          <w:rFonts w:cs="Arial"/>
          <w:color w:val="auto"/>
        </w:rPr>
        <w:t>spend</w:t>
      </w:r>
      <w:r w:rsidR="00E141C6" w:rsidRPr="00884F2C">
        <w:rPr>
          <w:rFonts w:cs="Arial"/>
          <w:color w:val="auto"/>
        </w:rPr>
        <w:t xml:space="preserve"> is </w:t>
      </w:r>
      <w:r w:rsidR="00D3622B" w:rsidRPr="00884F2C">
        <w:rPr>
          <w:rFonts w:cs="Arial"/>
          <w:color w:val="auto"/>
        </w:rPr>
        <w:t>£</w:t>
      </w:r>
      <w:r w:rsidR="00CF62B2">
        <w:rPr>
          <w:rFonts w:cs="Arial"/>
          <w:color w:val="auto"/>
        </w:rPr>
        <w:t>37.710</w:t>
      </w:r>
      <w:r w:rsidR="00206B28" w:rsidRPr="00884F2C">
        <w:rPr>
          <w:rFonts w:cs="Arial"/>
          <w:color w:val="auto"/>
        </w:rPr>
        <w:t xml:space="preserve"> </w:t>
      </w:r>
      <w:r w:rsidR="00E141C6" w:rsidRPr="00884F2C">
        <w:rPr>
          <w:rFonts w:cs="Arial"/>
          <w:color w:val="auto"/>
        </w:rPr>
        <w:t>million</w:t>
      </w:r>
      <w:r w:rsidR="00B80341" w:rsidRPr="00884F2C">
        <w:rPr>
          <w:rFonts w:cs="Arial"/>
          <w:color w:val="auto"/>
        </w:rPr>
        <w:t>,</w:t>
      </w:r>
      <w:r w:rsidR="005E6A9E" w:rsidRPr="00884F2C">
        <w:rPr>
          <w:rFonts w:cs="Arial"/>
          <w:color w:val="auto"/>
        </w:rPr>
        <w:t xml:space="preserve"> a favourable variance of (£</w:t>
      </w:r>
      <w:r w:rsidR="00884F2C" w:rsidRPr="00884F2C">
        <w:rPr>
          <w:rFonts w:cs="Arial"/>
          <w:color w:val="auto"/>
        </w:rPr>
        <w:t>1</w:t>
      </w:r>
      <w:r w:rsidR="00CF62B2">
        <w:rPr>
          <w:rFonts w:cs="Arial"/>
          <w:color w:val="auto"/>
        </w:rPr>
        <w:t>1.228</w:t>
      </w:r>
      <w:r w:rsidR="005E6A9E" w:rsidRPr="00884F2C">
        <w:rPr>
          <w:rFonts w:cs="Arial"/>
          <w:color w:val="auto"/>
        </w:rPr>
        <w:t xml:space="preserve">) million against the latest budget.  </w:t>
      </w:r>
      <w:r w:rsidR="00CF62B2">
        <w:rPr>
          <w:rFonts w:cs="Arial"/>
          <w:color w:val="auto"/>
        </w:rPr>
        <w:t>Of this (£10.592</w:t>
      </w:r>
      <w:r w:rsidR="00F26F53" w:rsidRPr="00884F2C">
        <w:rPr>
          <w:rFonts w:cs="Arial"/>
          <w:color w:val="auto"/>
        </w:rPr>
        <w:t>) million is slippage, which will be carried for</w:t>
      </w:r>
      <w:r w:rsidR="00884F2C" w:rsidRPr="00884F2C">
        <w:rPr>
          <w:rFonts w:cs="Arial"/>
          <w:color w:val="auto"/>
        </w:rPr>
        <w:t>wa</w:t>
      </w:r>
      <w:r w:rsidR="00F50468">
        <w:rPr>
          <w:rFonts w:cs="Arial"/>
          <w:color w:val="auto"/>
        </w:rPr>
        <w:t>rd into future years and (£0.636</w:t>
      </w:r>
      <w:r w:rsidR="00F26F53" w:rsidRPr="00884F2C">
        <w:rPr>
          <w:rFonts w:cs="Arial"/>
          <w:color w:val="auto"/>
        </w:rPr>
        <w:t>) million is</w:t>
      </w:r>
      <w:r w:rsidR="000C3FBC">
        <w:rPr>
          <w:rFonts w:cs="Arial"/>
          <w:color w:val="auto"/>
        </w:rPr>
        <w:t xml:space="preserve"> net</w:t>
      </w:r>
      <w:r w:rsidR="00F26F53" w:rsidRPr="00884F2C">
        <w:rPr>
          <w:rFonts w:cs="Arial"/>
          <w:color w:val="auto"/>
        </w:rPr>
        <w:t xml:space="preserve"> underspen</w:t>
      </w:r>
      <w:r w:rsidR="002E1770" w:rsidRPr="00884F2C">
        <w:rPr>
          <w:rFonts w:cs="Arial"/>
          <w:color w:val="auto"/>
        </w:rPr>
        <w:t xml:space="preserve">d on </w:t>
      </w:r>
      <w:r w:rsidR="00F26F53" w:rsidRPr="00884F2C">
        <w:rPr>
          <w:rFonts w:cs="Arial"/>
          <w:color w:val="auto"/>
        </w:rPr>
        <w:t>schemes,</w:t>
      </w:r>
      <w:r w:rsidR="000C3FBC">
        <w:rPr>
          <w:rFonts w:cs="Arial"/>
          <w:color w:val="auto"/>
        </w:rPr>
        <w:t xml:space="preserve"> the funding for which will be transferred to the capital financing reserve.</w:t>
      </w:r>
      <w:r w:rsidR="00F26F53" w:rsidRPr="00884F2C">
        <w:rPr>
          <w:rFonts w:cs="Arial"/>
          <w:color w:val="auto"/>
        </w:rPr>
        <w:t xml:space="preserve"> </w:t>
      </w:r>
      <w:r w:rsidR="000C3FBC">
        <w:rPr>
          <w:rFonts w:cs="Arial"/>
          <w:color w:val="auto"/>
        </w:rPr>
        <w:t xml:space="preserve"> </w:t>
      </w:r>
      <w:r w:rsidR="005E6A9E" w:rsidRPr="00884F2C">
        <w:rPr>
          <w:rFonts w:cs="Arial"/>
          <w:color w:val="auto"/>
        </w:rPr>
        <w:t xml:space="preserve">The actual spend equates to </w:t>
      </w:r>
      <w:r w:rsidR="00884F2C" w:rsidRPr="00884F2C">
        <w:rPr>
          <w:rFonts w:cs="Arial"/>
          <w:color w:val="auto"/>
        </w:rPr>
        <w:lastRenderedPageBreak/>
        <w:t>69</w:t>
      </w:r>
      <w:r w:rsidR="00D3622B" w:rsidRPr="00884F2C">
        <w:rPr>
          <w:rFonts w:cs="Arial"/>
          <w:color w:val="auto"/>
        </w:rPr>
        <w:t>% of the original budget</w:t>
      </w:r>
      <w:r w:rsidR="005E6A9E" w:rsidRPr="00884F2C">
        <w:rPr>
          <w:rFonts w:cs="Arial"/>
          <w:color w:val="auto"/>
        </w:rPr>
        <w:t xml:space="preserve"> of £</w:t>
      </w:r>
      <w:r w:rsidR="00884F2C" w:rsidRPr="00884F2C">
        <w:rPr>
          <w:rFonts w:cs="Arial"/>
          <w:color w:val="auto"/>
        </w:rPr>
        <w:t>54.626</w:t>
      </w:r>
      <w:r w:rsidR="005E6A9E" w:rsidRPr="00884F2C">
        <w:rPr>
          <w:rFonts w:cs="Arial"/>
          <w:color w:val="auto"/>
        </w:rPr>
        <w:t xml:space="preserve"> million</w:t>
      </w:r>
      <w:r w:rsidR="00D3622B" w:rsidRPr="00884F2C">
        <w:rPr>
          <w:rFonts w:cs="Arial"/>
          <w:color w:val="auto"/>
        </w:rPr>
        <w:t>.</w:t>
      </w:r>
      <w:r w:rsidR="006E68D7">
        <w:rPr>
          <w:rFonts w:cs="Arial"/>
          <w:color w:val="auto"/>
        </w:rPr>
        <w:t xml:space="preserve">  Several larger items were to do with transfers of funds to other bodies, rather than completion of particular projects of capital works directly by the City Council.</w:t>
      </w:r>
    </w:p>
    <w:p w14:paraId="26F5F53B" w14:textId="77777777" w:rsidR="00C2674F" w:rsidRPr="00884F2C" w:rsidRDefault="00C2674F" w:rsidP="00FB70AC">
      <w:pPr>
        <w:pStyle w:val="ListParagraph"/>
        <w:rPr>
          <w:color w:val="auto"/>
        </w:rPr>
      </w:pPr>
      <w:r w:rsidRPr="00884F2C">
        <w:rPr>
          <w:b/>
          <w:color w:val="auto"/>
        </w:rPr>
        <w:t>Performance</w:t>
      </w:r>
      <w:r w:rsidRPr="00884F2C">
        <w:rPr>
          <w:color w:val="auto"/>
        </w:rPr>
        <w:t xml:space="preserve"> </w:t>
      </w:r>
      <w:r w:rsidR="00D45E2B" w:rsidRPr="00884F2C">
        <w:rPr>
          <w:color w:val="auto"/>
        </w:rPr>
        <w:t>–</w:t>
      </w:r>
      <w:r w:rsidRPr="00884F2C">
        <w:rPr>
          <w:color w:val="auto"/>
        </w:rPr>
        <w:t xml:space="preserve"> </w:t>
      </w:r>
      <w:r w:rsidR="00884F2C" w:rsidRPr="00884F2C">
        <w:rPr>
          <w:color w:val="auto"/>
        </w:rPr>
        <w:t>75</w:t>
      </w:r>
      <w:r w:rsidR="00E141C6" w:rsidRPr="00884F2C">
        <w:rPr>
          <w:rFonts w:cs="Arial"/>
          <w:color w:val="auto"/>
        </w:rPr>
        <w:t>% (</w:t>
      </w:r>
      <w:r w:rsidR="001B0394" w:rsidRPr="00884F2C">
        <w:rPr>
          <w:rFonts w:cs="Arial"/>
          <w:color w:val="auto"/>
        </w:rPr>
        <w:t>1</w:t>
      </w:r>
      <w:r w:rsidR="00884F2C" w:rsidRPr="00884F2C">
        <w:rPr>
          <w:rFonts w:cs="Arial"/>
          <w:color w:val="auto"/>
        </w:rPr>
        <w:t>2</w:t>
      </w:r>
      <w:r w:rsidR="00E141C6" w:rsidRPr="00884F2C">
        <w:rPr>
          <w:rFonts w:cs="Arial"/>
          <w:color w:val="auto"/>
        </w:rPr>
        <w:t>) of the C</w:t>
      </w:r>
      <w:r w:rsidR="00D3622B" w:rsidRPr="00884F2C">
        <w:rPr>
          <w:rFonts w:cs="Arial"/>
          <w:color w:val="auto"/>
        </w:rPr>
        <w:t>orporate</w:t>
      </w:r>
      <w:r w:rsidR="00BB090E">
        <w:rPr>
          <w:rFonts w:cs="Arial"/>
          <w:color w:val="auto"/>
        </w:rPr>
        <w:t xml:space="preserve"> P</w:t>
      </w:r>
      <w:r w:rsidR="00E141C6" w:rsidRPr="00884F2C">
        <w:rPr>
          <w:rFonts w:cs="Arial"/>
          <w:color w:val="auto"/>
        </w:rPr>
        <w:t xml:space="preserve">erformance targets </w:t>
      </w:r>
      <w:r w:rsidR="00D3622B" w:rsidRPr="00884F2C">
        <w:rPr>
          <w:rFonts w:cs="Arial"/>
          <w:color w:val="auto"/>
        </w:rPr>
        <w:t>were</w:t>
      </w:r>
      <w:r w:rsidR="00CC118B" w:rsidRPr="00884F2C">
        <w:rPr>
          <w:rFonts w:cs="Arial"/>
          <w:color w:val="auto"/>
        </w:rPr>
        <w:t xml:space="preserve"> </w:t>
      </w:r>
      <w:r w:rsidR="00884F2C" w:rsidRPr="00884F2C">
        <w:rPr>
          <w:rFonts w:cs="Arial"/>
          <w:color w:val="auto"/>
        </w:rPr>
        <w:t>delivered as planned and 25</w:t>
      </w:r>
      <w:r w:rsidR="00E141C6" w:rsidRPr="00884F2C">
        <w:rPr>
          <w:rFonts w:cs="Arial"/>
          <w:color w:val="auto"/>
        </w:rPr>
        <w:t>% (</w:t>
      </w:r>
      <w:r w:rsidR="00884F2C" w:rsidRPr="00884F2C">
        <w:rPr>
          <w:rFonts w:cs="Arial"/>
          <w:color w:val="auto"/>
        </w:rPr>
        <w:t>4</w:t>
      </w:r>
      <w:r w:rsidR="00E141C6" w:rsidRPr="00884F2C">
        <w:rPr>
          <w:rFonts w:cs="Arial"/>
          <w:color w:val="auto"/>
        </w:rPr>
        <w:t>)</w:t>
      </w:r>
      <w:r w:rsidR="00D3622B" w:rsidRPr="00884F2C">
        <w:rPr>
          <w:rFonts w:cs="Arial"/>
          <w:color w:val="auto"/>
        </w:rPr>
        <w:t xml:space="preserve"> </w:t>
      </w:r>
      <w:r w:rsidR="002E1770" w:rsidRPr="00884F2C">
        <w:rPr>
          <w:rFonts w:cs="Arial"/>
          <w:color w:val="auto"/>
        </w:rPr>
        <w:t xml:space="preserve">were short of </w:t>
      </w:r>
      <w:r w:rsidR="00D3622B" w:rsidRPr="00884F2C">
        <w:rPr>
          <w:rFonts w:cs="Arial"/>
          <w:color w:val="auto"/>
        </w:rPr>
        <w:t xml:space="preserve">target; individual performance targets are detailed in Appendix </w:t>
      </w:r>
      <w:r w:rsidR="00884F2C" w:rsidRPr="00884F2C">
        <w:rPr>
          <w:rFonts w:cs="Arial"/>
          <w:color w:val="auto"/>
        </w:rPr>
        <w:t>F</w:t>
      </w:r>
      <w:r w:rsidR="00D3622B" w:rsidRPr="00884F2C">
        <w:rPr>
          <w:rFonts w:cs="Arial"/>
          <w:color w:val="auto"/>
        </w:rPr>
        <w:t>.</w:t>
      </w:r>
      <w:r w:rsidR="005E6A9E" w:rsidRPr="00884F2C">
        <w:rPr>
          <w:rFonts w:cs="Arial"/>
          <w:color w:val="auto"/>
        </w:rPr>
        <w:t xml:space="preserve">  </w:t>
      </w:r>
    </w:p>
    <w:p w14:paraId="44CD9B58" w14:textId="184EDF53" w:rsidR="00C2674F" w:rsidRPr="000E6801" w:rsidRDefault="006C483B" w:rsidP="00FB70AC">
      <w:pPr>
        <w:pStyle w:val="ListParagraph"/>
        <w:rPr>
          <w:color w:val="FF0000"/>
        </w:rPr>
      </w:pPr>
      <w:r w:rsidRPr="007E7DC2">
        <w:rPr>
          <w:rFonts w:cs="Arial"/>
          <w:b/>
          <w:color w:val="auto"/>
        </w:rPr>
        <w:t xml:space="preserve">Corporate </w:t>
      </w:r>
      <w:r w:rsidR="00C2674F" w:rsidRPr="007E7DC2">
        <w:rPr>
          <w:rFonts w:cs="Arial"/>
          <w:b/>
          <w:color w:val="auto"/>
        </w:rPr>
        <w:t>Risk Management</w:t>
      </w:r>
      <w:r w:rsidR="00650642" w:rsidRPr="007E7DC2">
        <w:rPr>
          <w:rFonts w:cs="Arial"/>
          <w:color w:val="auto"/>
        </w:rPr>
        <w:t xml:space="preserve"> – There </w:t>
      </w:r>
      <w:r w:rsidR="00D3622B" w:rsidRPr="00A52EDD">
        <w:rPr>
          <w:rFonts w:cs="Arial"/>
          <w:color w:val="auto"/>
        </w:rPr>
        <w:t>is one</w:t>
      </w:r>
      <w:r w:rsidR="00F67E17" w:rsidRPr="00A52EDD">
        <w:rPr>
          <w:rFonts w:cs="Arial"/>
          <w:color w:val="auto"/>
        </w:rPr>
        <w:t xml:space="preserve"> </w:t>
      </w:r>
      <w:r w:rsidR="000119EC" w:rsidRPr="00A52EDD">
        <w:rPr>
          <w:rFonts w:cs="Arial"/>
          <w:color w:val="auto"/>
        </w:rPr>
        <w:t xml:space="preserve">red </w:t>
      </w:r>
      <w:r w:rsidR="00C2674F" w:rsidRPr="00A52EDD">
        <w:rPr>
          <w:rFonts w:cs="Arial"/>
          <w:color w:val="auto"/>
        </w:rPr>
        <w:t>corporate risk</w:t>
      </w:r>
      <w:r w:rsidR="00D3622B" w:rsidRPr="00A52EDD">
        <w:rPr>
          <w:rFonts w:cs="Arial"/>
          <w:color w:val="auto"/>
        </w:rPr>
        <w:t xml:space="preserve"> and </w:t>
      </w:r>
      <w:r w:rsidR="00884F2C" w:rsidRPr="00A52EDD">
        <w:rPr>
          <w:rFonts w:cs="Arial"/>
          <w:color w:val="auto"/>
        </w:rPr>
        <w:t xml:space="preserve">the remaining 9 risks are </w:t>
      </w:r>
      <w:r w:rsidR="00D3622B" w:rsidRPr="00A52EDD">
        <w:rPr>
          <w:rFonts w:cs="Arial"/>
          <w:color w:val="auto"/>
        </w:rPr>
        <w:t xml:space="preserve">Amber risks, these are detailed </w:t>
      </w:r>
      <w:r w:rsidR="008159AF" w:rsidRPr="00A52EDD">
        <w:rPr>
          <w:rFonts w:cs="Arial"/>
          <w:color w:val="auto"/>
        </w:rPr>
        <w:t xml:space="preserve">in </w:t>
      </w:r>
      <w:r w:rsidR="00E835AB" w:rsidRPr="00A52EDD">
        <w:rPr>
          <w:rFonts w:cs="Arial"/>
          <w:color w:val="auto"/>
        </w:rPr>
        <w:t>paragraph 2</w:t>
      </w:r>
      <w:r w:rsidR="00EC4A78">
        <w:rPr>
          <w:rFonts w:cs="Arial"/>
          <w:color w:val="auto"/>
        </w:rPr>
        <w:t>4</w:t>
      </w:r>
      <w:r w:rsidR="002E1770" w:rsidRPr="00A52EDD">
        <w:rPr>
          <w:rFonts w:cs="Arial"/>
          <w:color w:val="auto"/>
        </w:rPr>
        <w:t>-2</w:t>
      </w:r>
      <w:r w:rsidR="00EC4A78">
        <w:rPr>
          <w:rFonts w:cs="Arial"/>
          <w:color w:val="auto"/>
        </w:rPr>
        <w:t>5</w:t>
      </w:r>
      <w:r w:rsidR="008159AF" w:rsidRPr="00A52EDD">
        <w:rPr>
          <w:rFonts w:cs="Arial"/>
          <w:color w:val="auto"/>
        </w:rPr>
        <w:t xml:space="preserve"> </w:t>
      </w:r>
      <w:r w:rsidR="008159AF" w:rsidRPr="007E7DC2">
        <w:rPr>
          <w:rFonts w:cs="Arial"/>
          <w:color w:val="auto"/>
        </w:rPr>
        <w:t xml:space="preserve">and in Appendix </w:t>
      </w:r>
      <w:r w:rsidR="007E7DC2" w:rsidRPr="007E7DC2">
        <w:rPr>
          <w:rFonts w:cs="Arial"/>
          <w:color w:val="auto"/>
        </w:rPr>
        <w:t>E</w:t>
      </w:r>
      <w:r w:rsidR="00D3622B" w:rsidRPr="000E6801">
        <w:rPr>
          <w:rFonts w:cs="Arial"/>
          <w:color w:val="FF0000"/>
        </w:rPr>
        <w:t>.</w:t>
      </w:r>
    </w:p>
    <w:p w14:paraId="1ECD60AD" w14:textId="77777777" w:rsidR="00536A53" w:rsidRPr="007D0E8B" w:rsidRDefault="00536A53" w:rsidP="00C11950">
      <w:pPr>
        <w:pStyle w:val="ListParagraph"/>
        <w:numPr>
          <w:ilvl w:val="0"/>
          <w:numId w:val="0"/>
        </w:numPr>
        <w:ind w:left="426" w:hanging="426"/>
        <w:rPr>
          <w:b/>
          <w:color w:val="auto"/>
        </w:rPr>
      </w:pPr>
      <w:r w:rsidRPr="007D0E8B">
        <w:rPr>
          <w:b/>
          <w:color w:val="auto"/>
        </w:rPr>
        <w:t>General Fund Revenue</w:t>
      </w:r>
    </w:p>
    <w:p w14:paraId="4802A14B" w14:textId="5EB5835F" w:rsidR="00E141C6" w:rsidRPr="007D0E8B" w:rsidRDefault="001757B4" w:rsidP="009212B2">
      <w:pPr>
        <w:pStyle w:val="ListParagraph"/>
        <w:rPr>
          <w:color w:val="auto"/>
        </w:rPr>
      </w:pPr>
      <w:r w:rsidRPr="007D0E8B">
        <w:rPr>
          <w:color w:val="auto"/>
        </w:rPr>
        <w:t xml:space="preserve">The General Fund is showing a favourable variance of </w:t>
      </w:r>
      <w:r w:rsidR="005E6A9E" w:rsidRPr="007D0E8B">
        <w:rPr>
          <w:color w:val="auto"/>
        </w:rPr>
        <w:t>(</w:t>
      </w:r>
      <w:r w:rsidRPr="007D0E8B">
        <w:rPr>
          <w:color w:val="auto"/>
        </w:rPr>
        <w:t>£</w:t>
      </w:r>
      <w:r w:rsidR="00BE5525">
        <w:rPr>
          <w:color w:val="auto"/>
        </w:rPr>
        <w:t>0.533</w:t>
      </w:r>
      <w:r w:rsidR="005E6A9E" w:rsidRPr="007D0E8B">
        <w:rPr>
          <w:color w:val="auto"/>
        </w:rPr>
        <w:t>)</w:t>
      </w:r>
      <w:r w:rsidRPr="007D0E8B">
        <w:rPr>
          <w:color w:val="auto"/>
        </w:rPr>
        <w:t xml:space="preserve"> million </w:t>
      </w:r>
      <w:r w:rsidR="00100B3F" w:rsidRPr="007D0E8B">
        <w:rPr>
          <w:color w:val="auto"/>
        </w:rPr>
        <w:t xml:space="preserve">as set out in Appendix A, </w:t>
      </w:r>
      <w:r w:rsidR="000C3FBC">
        <w:rPr>
          <w:color w:val="auto"/>
        </w:rPr>
        <w:t>after</w:t>
      </w:r>
      <w:r w:rsidRPr="007D0E8B">
        <w:rPr>
          <w:color w:val="auto"/>
        </w:rPr>
        <w:t xml:space="preserve"> carry forward and new bid requests.</w:t>
      </w:r>
      <w:r w:rsidR="007F4328" w:rsidRPr="007D0E8B">
        <w:rPr>
          <w:color w:val="auto"/>
        </w:rPr>
        <w:t xml:space="preserve"> </w:t>
      </w:r>
      <w:r w:rsidRPr="007D0E8B">
        <w:rPr>
          <w:color w:val="auto"/>
        </w:rPr>
        <w:t>The revenue balance remains unchanged at £3.622 million.</w:t>
      </w:r>
    </w:p>
    <w:p w14:paraId="27F288EC" w14:textId="77777777" w:rsidR="001757B4" w:rsidRPr="00484780" w:rsidRDefault="001757B4" w:rsidP="001757B4">
      <w:pPr>
        <w:pStyle w:val="ListParagraph"/>
        <w:numPr>
          <w:ilvl w:val="0"/>
          <w:numId w:val="0"/>
        </w:numPr>
        <w:rPr>
          <w:b/>
          <w:color w:val="auto"/>
        </w:rPr>
      </w:pPr>
      <w:r w:rsidRPr="00484780">
        <w:rPr>
          <w:b/>
          <w:color w:val="auto"/>
        </w:rPr>
        <w:t>General Fund Earmarked Reserves and Working Balance</w:t>
      </w:r>
    </w:p>
    <w:p w14:paraId="1E7B94F0" w14:textId="40F95C00" w:rsidR="001757B4" w:rsidRPr="000E6801" w:rsidRDefault="001757B4" w:rsidP="00D77751">
      <w:pPr>
        <w:pStyle w:val="ListParagraph"/>
        <w:tabs>
          <w:tab w:val="clear" w:pos="426"/>
        </w:tabs>
        <w:rPr>
          <w:color w:val="FF0000"/>
        </w:rPr>
      </w:pPr>
      <w:r w:rsidRPr="00484780">
        <w:rPr>
          <w:color w:val="auto"/>
        </w:rPr>
        <w:t xml:space="preserve">A number of requests have been made to carry forward unspent sums </w:t>
      </w:r>
      <w:r w:rsidR="006F36C9" w:rsidRPr="00484780">
        <w:rPr>
          <w:color w:val="auto"/>
        </w:rPr>
        <w:t xml:space="preserve">in respect of previously approved budgets </w:t>
      </w:r>
      <w:r w:rsidRPr="00484780">
        <w:rPr>
          <w:color w:val="auto"/>
        </w:rPr>
        <w:t>that have either a) not yet started, or b) are started b</w:t>
      </w:r>
      <w:r w:rsidR="00216AA4" w:rsidRPr="00484780">
        <w:rPr>
          <w:color w:val="auto"/>
        </w:rPr>
        <w:t>ut</w:t>
      </w:r>
      <w:r w:rsidRPr="00484780">
        <w:rPr>
          <w:color w:val="auto"/>
        </w:rPr>
        <w:t xml:space="preserve"> not completed </w:t>
      </w:r>
      <w:r w:rsidR="00E96D58" w:rsidRPr="00484780">
        <w:rPr>
          <w:color w:val="auto"/>
        </w:rPr>
        <w:t>(£</w:t>
      </w:r>
      <w:r w:rsidR="007D0E8B" w:rsidRPr="00484780">
        <w:rPr>
          <w:color w:val="auto"/>
        </w:rPr>
        <w:t>0.34</w:t>
      </w:r>
      <w:r w:rsidR="00627D0F">
        <w:rPr>
          <w:color w:val="auto"/>
        </w:rPr>
        <w:t>0</w:t>
      </w:r>
      <w:r w:rsidR="00627684" w:rsidRPr="00484780">
        <w:rPr>
          <w:color w:val="auto"/>
        </w:rPr>
        <w:t xml:space="preserve"> million</w:t>
      </w:r>
      <w:r w:rsidRPr="00484780">
        <w:rPr>
          <w:color w:val="auto"/>
        </w:rPr>
        <w:t>)</w:t>
      </w:r>
      <w:r w:rsidR="00627684" w:rsidRPr="00484780">
        <w:rPr>
          <w:color w:val="auto"/>
        </w:rPr>
        <w:t>.</w:t>
      </w:r>
      <w:r w:rsidRPr="00484780">
        <w:rPr>
          <w:color w:val="auto"/>
        </w:rPr>
        <w:t xml:space="preserve"> Additionally, </w:t>
      </w:r>
      <w:r w:rsidR="003450F2" w:rsidRPr="00484780">
        <w:rPr>
          <w:color w:val="auto"/>
        </w:rPr>
        <w:t>new bids of £</w:t>
      </w:r>
      <w:r w:rsidR="007D0E8B" w:rsidRPr="00484780">
        <w:rPr>
          <w:color w:val="auto"/>
        </w:rPr>
        <w:t>0.</w:t>
      </w:r>
      <w:r w:rsidR="00233A3B">
        <w:rPr>
          <w:color w:val="auto"/>
        </w:rPr>
        <w:t>3</w:t>
      </w:r>
      <w:r w:rsidR="00BE5525">
        <w:rPr>
          <w:color w:val="auto"/>
        </w:rPr>
        <w:t>64</w:t>
      </w:r>
      <w:r w:rsidR="007D0E8B" w:rsidRPr="00484780">
        <w:rPr>
          <w:color w:val="auto"/>
        </w:rPr>
        <w:t xml:space="preserve"> million</w:t>
      </w:r>
      <w:r w:rsidR="003450F2" w:rsidRPr="00484780">
        <w:rPr>
          <w:color w:val="auto"/>
        </w:rPr>
        <w:t xml:space="preserve"> </w:t>
      </w:r>
      <w:r w:rsidR="002E1770" w:rsidRPr="00484780">
        <w:rPr>
          <w:color w:val="auto"/>
        </w:rPr>
        <w:t xml:space="preserve">on which to use </w:t>
      </w:r>
      <w:proofErr w:type="gramStart"/>
      <w:r w:rsidR="002E1770" w:rsidRPr="00484780">
        <w:rPr>
          <w:color w:val="auto"/>
        </w:rPr>
        <w:t>the underspend</w:t>
      </w:r>
      <w:proofErr w:type="gramEnd"/>
      <w:r w:rsidR="002E1770" w:rsidRPr="00484780">
        <w:rPr>
          <w:color w:val="auto"/>
        </w:rPr>
        <w:t xml:space="preserve"> </w:t>
      </w:r>
      <w:r w:rsidR="003450F2" w:rsidRPr="00484780">
        <w:rPr>
          <w:color w:val="auto"/>
        </w:rPr>
        <w:t xml:space="preserve">have been </w:t>
      </w:r>
      <w:r w:rsidR="002E1770" w:rsidRPr="00484780">
        <w:rPr>
          <w:color w:val="auto"/>
        </w:rPr>
        <w:t>proposed</w:t>
      </w:r>
      <w:r w:rsidR="003450F2" w:rsidRPr="00484780">
        <w:rPr>
          <w:color w:val="auto"/>
        </w:rPr>
        <w:t>.  Details of these requests are summarised in the table below, and further detail</w:t>
      </w:r>
      <w:r w:rsidR="00216AA4" w:rsidRPr="00484780">
        <w:rPr>
          <w:color w:val="auto"/>
        </w:rPr>
        <w:t>s</w:t>
      </w:r>
      <w:r w:rsidR="003450F2" w:rsidRPr="00484780">
        <w:rPr>
          <w:color w:val="auto"/>
        </w:rPr>
        <w:t xml:space="preserve"> shown in Appendix </w:t>
      </w:r>
      <w:r w:rsidR="00FB4868" w:rsidRPr="00484780">
        <w:rPr>
          <w:color w:val="auto"/>
        </w:rPr>
        <w:t>D</w:t>
      </w:r>
      <w:r w:rsidR="003450F2" w:rsidRPr="00484780">
        <w:rPr>
          <w:color w:val="auto"/>
        </w:rPr>
        <w:t>:</w:t>
      </w:r>
    </w:p>
    <w:p w14:paraId="060D6E71" w14:textId="014BEF30" w:rsidR="003450F2" w:rsidRPr="00D44947" w:rsidRDefault="00BE5525" w:rsidP="003450F2">
      <w:pPr>
        <w:pStyle w:val="ListParagraph"/>
        <w:numPr>
          <w:ilvl w:val="0"/>
          <w:numId w:val="0"/>
        </w:numPr>
        <w:tabs>
          <w:tab w:val="clear" w:pos="426"/>
        </w:tabs>
        <w:ind w:left="426"/>
        <w:rPr>
          <w:color w:val="auto"/>
        </w:rPr>
      </w:pPr>
      <w:r w:rsidRPr="00BE5525">
        <w:rPr>
          <w:noProof/>
        </w:rPr>
        <w:drawing>
          <wp:inline distT="0" distB="0" distL="0" distR="0" wp14:anchorId="31C26767" wp14:editId="6A0C9F66">
            <wp:extent cx="5296535" cy="3787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3787140"/>
                    </a:xfrm>
                    <a:prstGeom prst="rect">
                      <a:avLst/>
                    </a:prstGeom>
                    <a:noFill/>
                    <a:ln>
                      <a:noFill/>
                    </a:ln>
                  </pic:spPr>
                </pic:pic>
              </a:graphicData>
            </a:graphic>
          </wp:inline>
        </w:drawing>
      </w:r>
    </w:p>
    <w:p w14:paraId="4C52A1D1" w14:textId="77777777" w:rsidR="003450F2" w:rsidRPr="00D44947" w:rsidRDefault="003450F2" w:rsidP="003450F2">
      <w:pPr>
        <w:pStyle w:val="ListParagraph"/>
        <w:numPr>
          <w:ilvl w:val="0"/>
          <w:numId w:val="0"/>
        </w:numPr>
        <w:tabs>
          <w:tab w:val="clear" w:pos="426"/>
        </w:tabs>
        <w:ind w:left="426"/>
        <w:rPr>
          <w:color w:val="auto"/>
        </w:rPr>
      </w:pPr>
    </w:p>
    <w:p w14:paraId="1916B4AE" w14:textId="77777777" w:rsidR="003450F2" w:rsidRPr="00D44947" w:rsidRDefault="003450F2" w:rsidP="00D77751">
      <w:pPr>
        <w:pStyle w:val="ListParagraph"/>
        <w:tabs>
          <w:tab w:val="clear" w:pos="426"/>
        </w:tabs>
        <w:rPr>
          <w:color w:val="auto"/>
        </w:rPr>
      </w:pPr>
      <w:r w:rsidRPr="00D44947">
        <w:rPr>
          <w:color w:val="auto"/>
        </w:rPr>
        <w:t>The new scheme requests include the following:</w:t>
      </w:r>
    </w:p>
    <w:p w14:paraId="171E4451" w14:textId="77777777" w:rsidR="007C2E3C" w:rsidRPr="00D44947" w:rsidRDefault="007C2E3C" w:rsidP="003450F2">
      <w:pPr>
        <w:pStyle w:val="ListParagraph"/>
        <w:numPr>
          <w:ilvl w:val="0"/>
          <w:numId w:val="32"/>
        </w:numPr>
        <w:tabs>
          <w:tab w:val="clear" w:pos="426"/>
        </w:tabs>
        <w:rPr>
          <w:color w:val="auto"/>
        </w:rPr>
      </w:pPr>
      <w:r w:rsidRPr="00D44947">
        <w:rPr>
          <w:b/>
          <w:color w:val="auto"/>
        </w:rPr>
        <w:t xml:space="preserve">Investigations marketing </w:t>
      </w:r>
      <w:r w:rsidRPr="00D44947">
        <w:rPr>
          <w:color w:val="auto"/>
        </w:rPr>
        <w:t xml:space="preserve">- </w:t>
      </w:r>
      <w:r w:rsidR="009A1D16">
        <w:rPr>
          <w:b/>
          <w:color w:val="auto"/>
        </w:rPr>
        <w:t>£45</w:t>
      </w:r>
      <w:r w:rsidRPr="00D44947">
        <w:rPr>
          <w:b/>
          <w:color w:val="auto"/>
        </w:rPr>
        <w:t>k</w:t>
      </w:r>
      <w:r w:rsidRPr="00D44947">
        <w:rPr>
          <w:color w:val="auto"/>
        </w:rPr>
        <w:t xml:space="preserve"> </w:t>
      </w:r>
      <w:r w:rsidR="00D44947" w:rsidRPr="00D44947">
        <w:rPr>
          <w:color w:val="auto"/>
        </w:rPr>
        <w:t>–</w:t>
      </w:r>
      <w:r w:rsidRPr="00D44947">
        <w:rPr>
          <w:color w:val="auto"/>
        </w:rPr>
        <w:t xml:space="preserve"> </w:t>
      </w:r>
      <w:r w:rsidR="00627D0F">
        <w:rPr>
          <w:color w:val="auto"/>
        </w:rPr>
        <w:t>budget to develop the commercial trading including marketing, open day expenses, apprenticeship contribution and web site development</w:t>
      </w:r>
      <w:r w:rsidR="00D44947" w:rsidRPr="00D44947">
        <w:rPr>
          <w:color w:val="auto"/>
        </w:rPr>
        <w:t>;</w:t>
      </w:r>
    </w:p>
    <w:p w14:paraId="7F2F8760" w14:textId="77777777" w:rsidR="006D4DF4" w:rsidRPr="006D4DF4" w:rsidRDefault="007C2E3C" w:rsidP="006D4DF4">
      <w:pPr>
        <w:pStyle w:val="ListParagraph"/>
        <w:numPr>
          <w:ilvl w:val="0"/>
          <w:numId w:val="32"/>
        </w:numPr>
        <w:tabs>
          <w:tab w:val="clear" w:pos="426"/>
        </w:tabs>
        <w:rPr>
          <w:color w:val="auto"/>
        </w:rPr>
      </w:pPr>
      <w:r w:rsidRPr="00D44947">
        <w:rPr>
          <w:b/>
          <w:color w:val="auto"/>
        </w:rPr>
        <w:lastRenderedPageBreak/>
        <w:t>City Centre Improvements</w:t>
      </w:r>
      <w:r w:rsidR="009E1E1D" w:rsidRPr="00D44947">
        <w:rPr>
          <w:b/>
          <w:color w:val="auto"/>
        </w:rPr>
        <w:t xml:space="preserve"> </w:t>
      </w:r>
      <w:proofErr w:type="gramStart"/>
      <w:r w:rsidR="004768FC" w:rsidRPr="00D44947">
        <w:rPr>
          <w:b/>
          <w:color w:val="auto"/>
        </w:rPr>
        <w:t xml:space="preserve">- </w:t>
      </w:r>
      <w:r w:rsidR="00773F4F" w:rsidRPr="00D44947">
        <w:rPr>
          <w:color w:val="auto"/>
        </w:rPr>
        <w:t xml:space="preserve"> </w:t>
      </w:r>
      <w:r w:rsidR="00773F4F" w:rsidRPr="00D44947">
        <w:rPr>
          <w:b/>
          <w:color w:val="auto"/>
        </w:rPr>
        <w:t>£</w:t>
      </w:r>
      <w:proofErr w:type="gramEnd"/>
      <w:r w:rsidR="00627D0F">
        <w:rPr>
          <w:b/>
          <w:color w:val="auto"/>
        </w:rPr>
        <w:t>200</w:t>
      </w:r>
      <w:r w:rsidR="00773F4F" w:rsidRPr="00D44947">
        <w:rPr>
          <w:b/>
          <w:color w:val="auto"/>
        </w:rPr>
        <w:t>k</w:t>
      </w:r>
      <w:r w:rsidR="00773F4F" w:rsidRPr="00D44947">
        <w:rPr>
          <w:color w:val="auto"/>
        </w:rPr>
        <w:t xml:space="preserve"> </w:t>
      </w:r>
      <w:r w:rsidR="004768FC" w:rsidRPr="00D44947">
        <w:rPr>
          <w:color w:val="auto"/>
        </w:rPr>
        <w:t>-</w:t>
      </w:r>
      <w:r w:rsidR="00614AE0" w:rsidRPr="00D44947">
        <w:rPr>
          <w:color w:val="auto"/>
        </w:rPr>
        <w:t>.</w:t>
      </w:r>
      <w:r w:rsidR="006D4DF4">
        <w:rPr>
          <w:color w:val="auto"/>
        </w:rPr>
        <w:t>to carry out a backlog of repairs to the public realm within the City Centre where routine revenue budgets are either not identified or insufficient to maintain a satisfactory standard.  This will improve safety and the visual appearance to items such as street furniture and paved surfaces.</w:t>
      </w:r>
      <w:r w:rsidR="006E68D7">
        <w:rPr>
          <w:color w:val="auto"/>
        </w:rPr>
        <w:t xml:space="preserve">  It reflects the City Council’s ambition to ensure that all areas of the City Centre match the appeal of the new Westgate Centre.</w:t>
      </w:r>
    </w:p>
    <w:p w14:paraId="5D6977AB" w14:textId="77777777" w:rsidR="007C2E3C" w:rsidRDefault="007C2E3C" w:rsidP="003450F2">
      <w:pPr>
        <w:pStyle w:val="ListParagraph"/>
        <w:numPr>
          <w:ilvl w:val="0"/>
          <w:numId w:val="32"/>
        </w:numPr>
        <w:tabs>
          <w:tab w:val="clear" w:pos="426"/>
        </w:tabs>
        <w:rPr>
          <w:color w:val="auto"/>
        </w:rPr>
      </w:pPr>
      <w:proofErr w:type="spellStart"/>
      <w:r w:rsidRPr="00D44947">
        <w:rPr>
          <w:b/>
          <w:color w:val="auto"/>
        </w:rPr>
        <w:t>Nightsafe</w:t>
      </w:r>
      <w:proofErr w:type="spellEnd"/>
      <w:r w:rsidRPr="00D44947">
        <w:rPr>
          <w:b/>
          <w:color w:val="auto"/>
        </w:rPr>
        <w:t>: Public safety and late-night economy</w:t>
      </w:r>
      <w:r w:rsidR="003450F2" w:rsidRPr="00D44947">
        <w:rPr>
          <w:b/>
          <w:color w:val="auto"/>
        </w:rPr>
        <w:t xml:space="preserve"> - £</w:t>
      </w:r>
      <w:r w:rsidRPr="00D44947">
        <w:rPr>
          <w:b/>
          <w:color w:val="auto"/>
        </w:rPr>
        <w:t>40</w:t>
      </w:r>
      <w:r w:rsidR="003450F2" w:rsidRPr="00D44947">
        <w:rPr>
          <w:b/>
          <w:color w:val="auto"/>
        </w:rPr>
        <w:t>k</w:t>
      </w:r>
      <w:r w:rsidR="00614AE0" w:rsidRPr="00D44947">
        <w:rPr>
          <w:color w:val="auto"/>
        </w:rPr>
        <w:t xml:space="preserve"> –</w:t>
      </w:r>
      <w:r w:rsidR="005A059B" w:rsidRPr="00D44947">
        <w:rPr>
          <w:color w:val="auto"/>
        </w:rPr>
        <w:t xml:space="preserve"> to carry out a review our joint approach to managing the night-time economy to improve public safety;</w:t>
      </w:r>
    </w:p>
    <w:p w14:paraId="78F985AD" w14:textId="034F9FA0" w:rsidR="00BE5525" w:rsidRPr="00D44947" w:rsidRDefault="00BE5525" w:rsidP="003450F2">
      <w:pPr>
        <w:pStyle w:val="ListParagraph"/>
        <w:numPr>
          <w:ilvl w:val="0"/>
          <w:numId w:val="32"/>
        </w:numPr>
        <w:tabs>
          <w:tab w:val="clear" w:pos="426"/>
        </w:tabs>
        <w:rPr>
          <w:color w:val="auto"/>
        </w:rPr>
      </w:pPr>
      <w:r>
        <w:rPr>
          <w:b/>
          <w:color w:val="auto"/>
        </w:rPr>
        <w:t>Grant</w:t>
      </w:r>
      <w:r w:rsidR="004D5D7A">
        <w:rPr>
          <w:b/>
          <w:color w:val="auto"/>
        </w:rPr>
        <w:t>s budget</w:t>
      </w:r>
      <w:r>
        <w:rPr>
          <w:b/>
          <w:color w:val="auto"/>
        </w:rPr>
        <w:t xml:space="preserve"> </w:t>
      </w:r>
      <w:r w:rsidRPr="00556458">
        <w:rPr>
          <w:b/>
          <w:color w:val="auto"/>
        </w:rPr>
        <w:t>- £15k</w:t>
      </w:r>
      <w:r>
        <w:rPr>
          <w:color w:val="auto"/>
        </w:rPr>
        <w:t xml:space="preserve"> – </w:t>
      </w:r>
      <w:r w:rsidR="004D5D7A">
        <w:rPr>
          <w:color w:val="auto"/>
        </w:rPr>
        <w:t>increase in grants budget to align the allocated budget with expenditure agreed</w:t>
      </w:r>
      <w:r>
        <w:rPr>
          <w:color w:val="auto"/>
        </w:rPr>
        <w:t>;</w:t>
      </w:r>
    </w:p>
    <w:p w14:paraId="3220B676" w14:textId="77777777" w:rsidR="003450F2" w:rsidRPr="00D44947" w:rsidRDefault="007C2E3C" w:rsidP="003450F2">
      <w:pPr>
        <w:pStyle w:val="ListParagraph"/>
        <w:numPr>
          <w:ilvl w:val="0"/>
          <w:numId w:val="32"/>
        </w:numPr>
        <w:tabs>
          <w:tab w:val="clear" w:pos="426"/>
        </w:tabs>
        <w:rPr>
          <w:color w:val="auto"/>
        </w:rPr>
      </w:pPr>
      <w:r w:rsidRPr="00D44947">
        <w:rPr>
          <w:b/>
          <w:color w:val="auto"/>
        </w:rPr>
        <w:t xml:space="preserve">Home choice pilot (Rent guarantee &amp; Coaching model) </w:t>
      </w:r>
      <w:r w:rsidRPr="00D44947">
        <w:rPr>
          <w:color w:val="auto"/>
        </w:rPr>
        <w:t xml:space="preserve">- </w:t>
      </w:r>
      <w:r w:rsidR="00627D0F">
        <w:rPr>
          <w:b/>
          <w:color w:val="auto"/>
        </w:rPr>
        <w:t>£64</w:t>
      </w:r>
      <w:r w:rsidRPr="00D44947">
        <w:rPr>
          <w:b/>
          <w:color w:val="auto"/>
        </w:rPr>
        <w:t>k</w:t>
      </w:r>
      <w:r w:rsidRPr="00D44947">
        <w:rPr>
          <w:color w:val="auto"/>
        </w:rPr>
        <w:t xml:space="preserve"> - </w:t>
      </w:r>
      <w:r w:rsidR="00614AE0" w:rsidRPr="00D44947">
        <w:rPr>
          <w:color w:val="auto"/>
        </w:rPr>
        <w:t>.</w:t>
      </w:r>
      <w:r w:rsidR="005A059B" w:rsidRPr="00D44947">
        <w:rPr>
          <w:color w:val="auto"/>
        </w:rPr>
        <w:t>this projects seeks to provide a new model for the Council in placing families at risk of homelessness into the private rented sector.  This will be achieved by topping up the rent of those place</w:t>
      </w:r>
      <w:r w:rsidR="00D44947" w:rsidRPr="00D44947">
        <w:rPr>
          <w:color w:val="auto"/>
        </w:rPr>
        <w:t>d</w:t>
      </w:r>
      <w:r w:rsidR="005A059B" w:rsidRPr="00D44947">
        <w:rPr>
          <w:color w:val="auto"/>
        </w:rPr>
        <w:t xml:space="preserve"> in the private rented sector.</w:t>
      </w:r>
    </w:p>
    <w:p w14:paraId="2C049074" w14:textId="77777777" w:rsidR="003450F2" w:rsidRDefault="003450F2" w:rsidP="00D77751">
      <w:pPr>
        <w:pStyle w:val="ListParagraph"/>
        <w:tabs>
          <w:tab w:val="clear" w:pos="426"/>
        </w:tabs>
        <w:rPr>
          <w:color w:val="auto"/>
        </w:rPr>
      </w:pPr>
      <w:r w:rsidRPr="007C2E3C">
        <w:rPr>
          <w:color w:val="auto"/>
        </w:rPr>
        <w:t>The City Executive Board is asked to review and agree the carry forward requests and n</w:t>
      </w:r>
      <w:r w:rsidR="00FA385D" w:rsidRPr="007C2E3C">
        <w:rPr>
          <w:color w:val="auto"/>
        </w:rPr>
        <w:t xml:space="preserve">ew bids.  </w:t>
      </w:r>
      <w:r w:rsidR="00594AE5" w:rsidRPr="007C2E3C">
        <w:rPr>
          <w:color w:val="auto"/>
        </w:rPr>
        <w:t xml:space="preserve">It is recommended that </w:t>
      </w:r>
      <w:r w:rsidR="00343DA0" w:rsidRPr="007C2E3C">
        <w:rPr>
          <w:color w:val="auto"/>
        </w:rPr>
        <w:t xml:space="preserve">any </w:t>
      </w:r>
      <w:r w:rsidR="00FA385D" w:rsidRPr="007C2E3C">
        <w:rPr>
          <w:color w:val="auto"/>
        </w:rPr>
        <w:t xml:space="preserve">sums not agreed </w:t>
      </w:r>
      <w:r w:rsidR="00343DA0" w:rsidRPr="007C2E3C">
        <w:rPr>
          <w:color w:val="auto"/>
        </w:rPr>
        <w:t xml:space="preserve">are </w:t>
      </w:r>
      <w:r w:rsidR="006F6DC5" w:rsidRPr="007C2E3C">
        <w:rPr>
          <w:color w:val="auto"/>
        </w:rPr>
        <w:t>transferred to the Capital Financing Reserve</w:t>
      </w:r>
      <w:r w:rsidR="00FA385D" w:rsidRPr="007C2E3C">
        <w:rPr>
          <w:color w:val="auto"/>
        </w:rPr>
        <w:t>.</w:t>
      </w:r>
    </w:p>
    <w:p w14:paraId="08D1331F" w14:textId="1922C420" w:rsidR="004C69F1" w:rsidRPr="007C2E3C" w:rsidRDefault="004C69F1" w:rsidP="00D77751">
      <w:pPr>
        <w:pStyle w:val="ListParagraph"/>
        <w:tabs>
          <w:tab w:val="clear" w:pos="426"/>
        </w:tabs>
        <w:rPr>
          <w:color w:val="auto"/>
        </w:rPr>
      </w:pPr>
      <w:r>
        <w:rPr>
          <w:color w:val="auto"/>
        </w:rPr>
        <w:t xml:space="preserve">The City Executive Board is also asked to review and agree to </w:t>
      </w:r>
      <w:r w:rsidR="005D4BE4">
        <w:rPr>
          <w:color w:val="auto"/>
        </w:rPr>
        <w:t>change the recommendation regarding the Neighbourhood portion of CIL Funding.  It previously agr</w:t>
      </w:r>
      <w:r w:rsidR="00556458">
        <w:rPr>
          <w:color w:val="auto"/>
        </w:rPr>
        <w:t>eed that these funds would only</w:t>
      </w:r>
      <w:r w:rsidR="005D4BE4">
        <w:rPr>
          <w:color w:val="auto"/>
        </w:rPr>
        <w:t xml:space="preserve"> be rolled forward for schemes that may be implemented over more than one </w:t>
      </w:r>
      <w:proofErr w:type="gramStart"/>
      <w:r w:rsidR="005D4BE4">
        <w:rPr>
          <w:color w:val="auto"/>
        </w:rPr>
        <w:t>year,</w:t>
      </w:r>
      <w:proofErr w:type="gramEnd"/>
      <w:r w:rsidR="005D4BE4">
        <w:rPr>
          <w:color w:val="auto"/>
        </w:rPr>
        <w:t xml:space="preserve"> we are now proposing that all unspent funds are rolled forward to allow members to allocate the funds in future years.  </w:t>
      </w:r>
    </w:p>
    <w:p w14:paraId="462685D6" w14:textId="77777777" w:rsidR="00FA385D" w:rsidRPr="00484780" w:rsidRDefault="00C90060" w:rsidP="00D77751">
      <w:pPr>
        <w:pStyle w:val="ListParagraph"/>
        <w:tabs>
          <w:tab w:val="clear" w:pos="426"/>
        </w:tabs>
        <w:rPr>
          <w:color w:val="auto"/>
        </w:rPr>
      </w:pPr>
      <w:r w:rsidRPr="00484780">
        <w:rPr>
          <w:color w:val="auto"/>
        </w:rPr>
        <w:t>Subject to CEB agreeing the recommended carry forwards</w:t>
      </w:r>
      <w:r w:rsidR="007C2E3C" w:rsidRPr="00484780">
        <w:rPr>
          <w:color w:val="auto"/>
        </w:rPr>
        <w:t>,</w:t>
      </w:r>
      <w:r w:rsidRPr="00484780">
        <w:rPr>
          <w:color w:val="auto"/>
        </w:rPr>
        <w:t xml:space="preserve"> </w:t>
      </w:r>
      <w:r w:rsidR="00216AA4" w:rsidRPr="00484780">
        <w:rPr>
          <w:color w:val="auto"/>
        </w:rPr>
        <w:t xml:space="preserve">Earmarked </w:t>
      </w:r>
      <w:r w:rsidR="00AB77E5" w:rsidRPr="00484780">
        <w:rPr>
          <w:color w:val="auto"/>
        </w:rPr>
        <w:t>Reserves</w:t>
      </w:r>
      <w:r w:rsidR="00216AA4" w:rsidRPr="00484780">
        <w:rPr>
          <w:color w:val="auto"/>
        </w:rPr>
        <w:t xml:space="preserve"> as at the 31</w:t>
      </w:r>
      <w:r w:rsidR="00216AA4" w:rsidRPr="00484780">
        <w:rPr>
          <w:color w:val="auto"/>
          <w:vertAlign w:val="superscript"/>
        </w:rPr>
        <w:t>st</w:t>
      </w:r>
      <w:r w:rsidR="00484780" w:rsidRPr="00484780">
        <w:rPr>
          <w:color w:val="auto"/>
        </w:rPr>
        <w:t xml:space="preserve"> March 2018</w:t>
      </w:r>
      <w:r w:rsidR="00216AA4" w:rsidRPr="00484780">
        <w:rPr>
          <w:color w:val="auto"/>
        </w:rPr>
        <w:t xml:space="preserve"> </w:t>
      </w:r>
      <w:r w:rsidR="00AB77E5" w:rsidRPr="00484780">
        <w:rPr>
          <w:color w:val="auto"/>
        </w:rPr>
        <w:t xml:space="preserve">would </w:t>
      </w:r>
      <w:r w:rsidR="00216AA4" w:rsidRPr="00484780">
        <w:rPr>
          <w:color w:val="auto"/>
        </w:rPr>
        <w:t xml:space="preserve">stand at </w:t>
      </w:r>
      <w:r w:rsidR="00484780" w:rsidRPr="00484780">
        <w:rPr>
          <w:color w:val="auto"/>
        </w:rPr>
        <w:t>£35.511</w:t>
      </w:r>
      <w:r w:rsidR="00D02009" w:rsidRPr="00484780">
        <w:rPr>
          <w:color w:val="auto"/>
        </w:rPr>
        <w:t xml:space="preserve"> million</w:t>
      </w:r>
      <w:r w:rsidR="00216AA4" w:rsidRPr="00484780">
        <w:rPr>
          <w:color w:val="auto"/>
        </w:rPr>
        <w:t>,</w:t>
      </w:r>
      <w:r w:rsidR="00484780" w:rsidRPr="00484780">
        <w:rPr>
          <w:color w:val="auto"/>
        </w:rPr>
        <w:t xml:space="preserve"> 25</w:t>
      </w:r>
      <w:r w:rsidR="00216AA4" w:rsidRPr="00484780">
        <w:rPr>
          <w:color w:val="auto"/>
        </w:rPr>
        <w:t xml:space="preserve">% </w:t>
      </w:r>
      <w:r w:rsidR="000F3585">
        <w:rPr>
          <w:color w:val="auto"/>
        </w:rPr>
        <w:t xml:space="preserve">of which </w:t>
      </w:r>
      <w:r w:rsidR="00216AA4" w:rsidRPr="00484780">
        <w:rPr>
          <w:color w:val="auto"/>
        </w:rPr>
        <w:t xml:space="preserve">relates to funding of the </w:t>
      </w:r>
      <w:r w:rsidR="00AB77E5" w:rsidRPr="00484780">
        <w:rPr>
          <w:color w:val="auto"/>
        </w:rPr>
        <w:t>Capital</w:t>
      </w:r>
      <w:r w:rsidR="00216AA4" w:rsidRPr="00484780">
        <w:rPr>
          <w:color w:val="auto"/>
        </w:rPr>
        <w:t xml:space="preserve"> </w:t>
      </w:r>
      <w:r w:rsidR="00AB77E5" w:rsidRPr="00484780">
        <w:rPr>
          <w:color w:val="auto"/>
        </w:rPr>
        <w:t>Programme</w:t>
      </w:r>
      <w:r w:rsidR="00484780" w:rsidRPr="00484780">
        <w:rPr>
          <w:color w:val="auto"/>
        </w:rPr>
        <w:t xml:space="preserve"> and 13% relates to Business Rates Retention reserve</w:t>
      </w:r>
      <w:r w:rsidR="00D02009" w:rsidRPr="00484780">
        <w:rPr>
          <w:color w:val="auto"/>
        </w:rPr>
        <w:t>.</w:t>
      </w:r>
    </w:p>
    <w:p w14:paraId="4EE93876" w14:textId="4DBF639B" w:rsidR="00FA385D" w:rsidRPr="00484780" w:rsidRDefault="00FA385D" w:rsidP="00D77751">
      <w:pPr>
        <w:pStyle w:val="ListParagraph"/>
        <w:tabs>
          <w:tab w:val="clear" w:pos="426"/>
        </w:tabs>
        <w:rPr>
          <w:color w:val="auto"/>
        </w:rPr>
      </w:pPr>
      <w:r w:rsidRPr="00484780">
        <w:rPr>
          <w:color w:val="auto"/>
        </w:rPr>
        <w:t xml:space="preserve">The most notable transfer to </w:t>
      </w:r>
      <w:r w:rsidR="006F6DC5" w:rsidRPr="00484780">
        <w:rPr>
          <w:color w:val="auto"/>
        </w:rPr>
        <w:t xml:space="preserve">and from </w:t>
      </w:r>
      <w:r w:rsidRPr="00484780">
        <w:rPr>
          <w:color w:val="auto"/>
        </w:rPr>
        <w:t xml:space="preserve">Earmarked Reserves </w:t>
      </w:r>
      <w:r w:rsidR="00216AA4" w:rsidRPr="00484780">
        <w:rPr>
          <w:color w:val="auto"/>
        </w:rPr>
        <w:t xml:space="preserve">in year </w:t>
      </w:r>
      <w:r w:rsidR="006E68D7">
        <w:rPr>
          <w:color w:val="auto"/>
        </w:rPr>
        <w:t>is</w:t>
      </w:r>
      <w:r w:rsidRPr="00484780">
        <w:rPr>
          <w:color w:val="auto"/>
        </w:rPr>
        <w:t>:</w:t>
      </w:r>
    </w:p>
    <w:p w14:paraId="6427D8E9" w14:textId="425D175C" w:rsidR="00C45ECB" w:rsidRPr="00484780" w:rsidRDefault="00FA385D" w:rsidP="00FA385D">
      <w:pPr>
        <w:pStyle w:val="ListParagraph"/>
        <w:numPr>
          <w:ilvl w:val="0"/>
          <w:numId w:val="33"/>
        </w:numPr>
        <w:tabs>
          <w:tab w:val="clear" w:pos="426"/>
        </w:tabs>
        <w:rPr>
          <w:color w:val="auto"/>
        </w:rPr>
      </w:pPr>
      <w:r w:rsidRPr="00484780">
        <w:rPr>
          <w:color w:val="auto"/>
        </w:rPr>
        <w:t>NNDR Retention reserve – (£1.</w:t>
      </w:r>
      <w:r w:rsidR="00484780" w:rsidRPr="00484780">
        <w:rPr>
          <w:color w:val="auto"/>
        </w:rPr>
        <w:t>737</w:t>
      </w:r>
      <w:r w:rsidRPr="00484780">
        <w:rPr>
          <w:color w:val="auto"/>
        </w:rPr>
        <w:t xml:space="preserve">) million </w:t>
      </w:r>
      <w:r w:rsidR="000F3585">
        <w:rPr>
          <w:color w:val="auto"/>
        </w:rPr>
        <w:t>this reserve is held in accordance with proper accounting practices</w:t>
      </w:r>
      <w:r w:rsidR="00C45ECB" w:rsidRPr="00484780">
        <w:rPr>
          <w:color w:val="auto"/>
        </w:rPr>
        <w:t>;</w:t>
      </w:r>
    </w:p>
    <w:p w14:paraId="67B95EE0" w14:textId="77777777" w:rsidR="00FA385D" w:rsidRPr="000E6801" w:rsidRDefault="00FA385D" w:rsidP="00FA385D">
      <w:pPr>
        <w:pStyle w:val="ListParagraph"/>
        <w:numPr>
          <w:ilvl w:val="0"/>
          <w:numId w:val="0"/>
        </w:numPr>
        <w:tabs>
          <w:tab w:val="clear" w:pos="426"/>
        </w:tabs>
        <w:ind w:left="426" w:hanging="426"/>
        <w:rPr>
          <w:color w:val="FF0000"/>
        </w:rPr>
      </w:pPr>
    </w:p>
    <w:p w14:paraId="4D79975C" w14:textId="77777777" w:rsidR="00FA385D" w:rsidRPr="00484780" w:rsidRDefault="00FA385D" w:rsidP="00FA385D">
      <w:pPr>
        <w:pStyle w:val="ListParagraph"/>
        <w:numPr>
          <w:ilvl w:val="0"/>
          <w:numId w:val="0"/>
        </w:numPr>
        <w:tabs>
          <w:tab w:val="clear" w:pos="426"/>
        </w:tabs>
        <w:ind w:left="426" w:hanging="426"/>
        <w:rPr>
          <w:b/>
          <w:color w:val="auto"/>
        </w:rPr>
      </w:pPr>
      <w:r w:rsidRPr="00484780">
        <w:rPr>
          <w:b/>
          <w:color w:val="auto"/>
        </w:rPr>
        <w:t>General Fund Service area position</w:t>
      </w:r>
    </w:p>
    <w:p w14:paraId="4CB0720C" w14:textId="2CB9B8BC" w:rsidR="009B6D80" w:rsidRPr="00484780" w:rsidRDefault="00CC2459" w:rsidP="00E96D58">
      <w:pPr>
        <w:pStyle w:val="ListParagraph"/>
        <w:tabs>
          <w:tab w:val="clear" w:pos="426"/>
        </w:tabs>
        <w:rPr>
          <w:color w:val="auto"/>
        </w:rPr>
      </w:pPr>
      <w:r w:rsidRPr="00484780">
        <w:rPr>
          <w:color w:val="auto"/>
        </w:rPr>
        <w:t xml:space="preserve">At </w:t>
      </w:r>
      <w:r w:rsidR="00763052" w:rsidRPr="00484780">
        <w:rPr>
          <w:color w:val="auto"/>
        </w:rPr>
        <w:t xml:space="preserve">the year end </w:t>
      </w:r>
      <w:r w:rsidRPr="00484780">
        <w:rPr>
          <w:color w:val="auto"/>
        </w:rPr>
        <w:t>t</w:t>
      </w:r>
      <w:r w:rsidR="006C483B" w:rsidRPr="00484780">
        <w:rPr>
          <w:color w:val="auto"/>
        </w:rPr>
        <w:t xml:space="preserve">he General Fund </w:t>
      </w:r>
      <w:r w:rsidR="00763052" w:rsidRPr="00484780">
        <w:rPr>
          <w:color w:val="auto"/>
        </w:rPr>
        <w:t>service areas show</w:t>
      </w:r>
      <w:r w:rsidR="00160BAB" w:rsidRPr="00484780">
        <w:rPr>
          <w:color w:val="auto"/>
        </w:rPr>
        <w:t>ed</w:t>
      </w:r>
      <w:r w:rsidR="00763052" w:rsidRPr="00484780">
        <w:rPr>
          <w:color w:val="auto"/>
        </w:rPr>
        <w:t xml:space="preserve"> a favourable variance of </w:t>
      </w:r>
      <w:r w:rsidR="00484780">
        <w:rPr>
          <w:color w:val="auto"/>
        </w:rPr>
        <w:t>(</w:t>
      </w:r>
      <w:r w:rsidR="00763052" w:rsidRPr="00484780">
        <w:rPr>
          <w:color w:val="auto"/>
        </w:rPr>
        <w:t>£</w:t>
      </w:r>
      <w:r w:rsidR="00484780" w:rsidRPr="00484780">
        <w:rPr>
          <w:color w:val="auto"/>
        </w:rPr>
        <w:t>1.357</w:t>
      </w:r>
      <w:r w:rsidR="00484780">
        <w:rPr>
          <w:color w:val="auto"/>
        </w:rPr>
        <w:t>)</w:t>
      </w:r>
      <w:r w:rsidR="00763052" w:rsidRPr="00484780">
        <w:rPr>
          <w:color w:val="auto"/>
        </w:rPr>
        <w:t xml:space="preserve"> million</w:t>
      </w:r>
      <w:r w:rsidR="000F3585">
        <w:rPr>
          <w:color w:val="auto"/>
        </w:rPr>
        <w:t>, (£0.</w:t>
      </w:r>
      <w:r w:rsidR="00556458">
        <w:rPr>
          <w:color w:val="auto"/>
        </w:rPr>
        <w:t>704</w:t>
      </w:r>
      <w:r w:rsidR="00627D0F">
        <w:rPr>
          <w:color w:val="auto"/>
        </w:rPr>
        <w:t>)</w:t>
      </w:r>
      <w:r w:rsidR="000F3585">
        <w:rPr>
          <w:color w:val="auto"/>
        </w:rPr>
        <w:t xml:space="preserve"> million after carry forward requests</w:t>
      </w:r>
      <w:r w:rsidR="00E141C6" w:rsidRPr="00484780">
        <w:rPr>
          <w:color w:val="auto"/>
        </w:rPr>
        <w:t>.  The</w:t>
      </w:r>
      <w:r w:rsidR="00216AA4" w:rsidRPr="00484780">
        <w:rPr>
          <w:color w:val="auto"/>
        </w:rPr>
        <w:t xml:space="preserve"> most significant of these variances </w:t>
      </w:r>
      <w:r w:rsidR="00E141C6" w:rsidRPr="00484780">
        <w:rPr>
          <w:color w:val="auto"/>
        </w:rPr>
        <w:t xml:space="preserve"> are </w:t>
      </w:r>
      <w:r w:rsidR="00763052" w:rsidRPr="00484780">
        <w:rPr>
          <w:color w:val="auto"/>
        </w:rPr>
        <w:t>explained below:</w:t>
      </w:r>
    </w:p>
    <w:p w14:paraId="28141718" w14:textId="77777777" w:rsidR="00763052" w:rsidRPr="000E6801" w:rsidRDefault="00763052" w:rsidP="00763052">
      <w:pPr>
        <w:spacing w:after="0"/>
        <w:rPr>
          <w:rFonts w:cs="Arial"/>
          <w:color w:val="FF0000"/>
        </w:rPr>
      </w:pPr>
    </w:p>
    <w:p w14:paraId="25C6BA4E" w14:textId="77777777" w:rsidR="00763052" w:rsidRPr="005B57F2" w:rsidRDefault="00763052" w:rsidP="007F4328">
      <w:pPr>
        <w:pStyle w:val="ListParagraph"/>
        <w:numPr>
          <w:ilvl w:val="0"/>
          <w:numId w:val="34"/>
        </w:numPr>
        <w:tabs>
          <w:tab w:val="clear" w:pos="426"/>
        </w:tabs>
        <w:spacing w:after="0" w:line="276" w:lineRule="auto"/>
        <w:contextualSpacing/>
        <w:rPr>
          <w:rFonts w:cs="Arial"/>
          <w:color w:val="auto"/>
        </w:rPr>
      </w:pPr>
      <w:r w:rsidRPr="005B57F2">
        <w:rPr>
          <w:rFonts w:cs="Arial"/>
          <w:b/>
          <w:color w:val="auto"/>
        </w:rPr>
        <w:t>Housing and Property</w:t>
      </w:r>
      <w:r w:rsidRPr="005B57F2">
        <w:rPr>
          <w:rFonts w:cs="Arial"/>
          <w:color w:val="auto"/>
        </w:rPr>
        <w:t xml:space="preserve"> – year </w:t>
      </w:r>
      <w:r w:rsidR="00E96D58" w:rsidRPr="005B57F2">
        <w:rPr>
          <w:rFonts w:cs="Arial"/>
          <w:color w:val="auto"/>
        </w:rPr>
        <w:t xml:space="preserve">end </w:t>
      </w:r>
      <w:r w:rsidR="00484780" w:rsidRPr="005B57F2">
        <w:rPr>
          <w:rFonts w:cs="Arial"/>
          <w:color w:val="auto"/>
        </w:rPr>
        <w:t>adverse</w:t>
      </w:r>
      <w:r w:rsidR="00E96D58" w:rsidRPr="005B57F2">
        <w:rPr>
          <w:rFonts w:cs="Arial"/>
          <w:color w:val="auto"/>
        </w:rPr>
        <w:t xml:space="preserve"> variance of £0.</w:t>
      </w:r>
      <w:r w:rsidR="00484780" w:rsidRPr="005B57F2">
        <w:rPr>
          <w:rFonts w:cs="Arial"/>
          <w:color w:val="auto"/>
        </w:rPr>
        <w:t>157</w:t>
      </w:r>
      <w:r w:rsidRPr="005B57F2">
        <w:rPr>
          <w:rFonts w:cs="Arial"/>
          <w:color w:val="auto"/>
        </w:rPr>
        <w:t xml:space="preserve"> million, due to</w:t>
      </w:r>
      <w:r w:rsidR="00170D87" w:rsidRPr="005B57F2">
        <w:rPr>
          <w:rFonts w:cs="Arial"/>
          <w:color w:val="auto"/>
        </w:rPr>
        <w:t xml:space="preserve"> </w:t>
      </w:r>
      <w:r w:rsidR="00D44947" w:rsidRPr="005B57F2">
        <w:rPr>
          <w:rFonts w:cs="Arial"/>
          <w:color w:val="auto"/>
        </w:rPr>
        <w:t xml:space="preserve">increased expenditure on temporary staffing during the year, under </w:t>
      </w:r>
      <w:r w:rsidR="00722C3E">
        <w:rPr>
          <w:rFonts w:cs="Arial"/>
          <w:color w:val="auto"/>
        </w:rPr>
        <w:t>recovery</w:t>
      </w:r>
      <w:r w:rsidR="00D44947" w:rsidRPr="005B57F2">
        <w:rPr>
          <w:rFonts w:cs="Arial"/>
          <w:color w:val="auto"/>
        </w:rPr>
        <w:t xml:space="preserve"> on fee</w:t>
      </w:r>
      <w:r w:rsidR="00722C3E">
        <w:rPr>
          <w:rFonts w:cs="Arial"/>
          <w:color w:val="auto"/>
        </w:rPr>
        <w:t xml:space="preserve">s </w:t>
      </w:r>
      <w:r w:rsidR="00D44947" w:rsidRPr="005B57F2">
        <w:rPr>
          <w:rFonts w:cs="Arial"/>
          <w:color w:val="auto"/>
        </w:rPr>
        <w:t>charge</w:t>
      </w:r>
      <w:r w:rsidR="00722C3E">
        <w:rPr>
          <w:rFonts w:cs="Arial"/>
          <w:color w:val="auto"/>
        </w:rPr>
        <w:t>d</w:t>
      </w:r>
      <w:r w:rsidR="00D44947" w:rsidRPr="005B57F2">
        <w:rPr>
          <w:rFonts w:cs="Arial"/>
          <w:color w:val="auto"/>
        </w:rPr>
        <w:t xml:space="preserve"> </w:t>
      </w:r>
      <w:r w:rsidR="00722C3E">
        <w:rPr>
          <w:rFonts w:cs="Arial"/>
          <w:color w:val="auto"/>
        </w:rPr>
        <w:t>to</w:t>
      </w:r>
      <w:r w:rsidR="00BB090E">
        <w:rPr>
          <w:rFonts w:cs="Arial"/>
          <w:color w:val="auto"/>
        </w:rPr>
        <w:t xml:space="preserve"> capital</w:t>
      </w:r>
      <w:r w:rsidR="00722C3E">
        <w:rPr>
          <w:rFonts w:cs="Arial"/>
          <w:color w:val="auto"/>
        </w:rPr>
        <w:t xml:space="preserve"> due to a reduction of work provided to capital projects and the </w:t>
      </w:r>
      <w:r w:rsidR="00D44947" w:rsidRPr="005B57F2">
        <w:rPr>
          <w:rFonts w:cs="Arial"/>
          <w:color w:val="auto"/>
        </w:rPr>
        <w:t>provision of bad debts against garage income being higher than expected in year;</w:t>
      </w:r>
    </w:p>
    <w:p w14:paraId="53E5F9DB" w14:textId="77777777" w:rsidR="00484780" w:rsidRDefault="00484780" w:rsidP="00484780">
      <w:pPr>
        <w:pStyle w:val="ListParagraph"/>
        <w:numPr>
          <w:ilvl w:val="0"/>
          <w:numId w:val="0"/>
        </w:numPr>
        <w:tabs>
          <w:tab w:val="clear" w:pos="426"/>
        </w:tabs>
        <w:spacing w:after="0" w:line="276" w:lineRule="auto"/>
        <w:ind w:left="720"/>
        <w:contextualSpacing/>
        <w:rPr>
          <w:rFonts w:cs="Arial"/>
          <w:color w:val="FF0000"/>
        </w:rPr>
      </w:pPr>
    </w:p>
    <w:p w14:paraId="38AF3740" w14:textId="77777777" w:rsidR="00484780" w:rsidRPr="005B57F2" w:rsidRDefault="00484780" w:rsidP="007F4328">
      <w:pPr>
        <w:pStyle w:val="ListParagraph"/>
        <w:numPr>
          <w:ilvl w:val="0"/>
          <w:numId w:val="34"/>
        </w:numPr>
        <w:tabs>
          <w:tab w:val="clear" w:pos="426"/>
        </w:tabs>
        <w:spacing w:after="0" w:line="276" w:lineRule="auto"/>
        <w:contextualSpacing/>
        <w:rPr>
          <w:rFonts w:cs="Arial"/>
          <w:color w:val="auto"/>
        </w:rPr>
      </w:pPr>
      <w:r w:rsidRPr="005B57F2">
        <w:rPr>
          <w:rFonts w:cs="Arial"/>
          <w:b/>
          <w:color w:val="auto"/>
        </w:rPr>
        <w:lastRenderedPageBreak/>
        <w:t xml:space="preserve">Regeneration and Economy </w:t>
      </w:r>
      <w:r w:rsidRPr="005B57F2">
        <w:rPr>
          <w:rFonts w:cs="Arial"/>
          <w:color w:val="auto"/>
        </w:rPr>
        <w:t>– year end favourable var</w:t>
      </w:r>
      <w:r w:rsidR="005B57F2" w:rsidRPr="005B57F2">
        <w:rPr>
          <w:rFonts w:cs="Arial"/>
          <w:color w:val="auto"/>
        </w:rPr>
        <w:t xml:space="preserve">iance of (£0.547) million, (£0.308) million of this relates to the </w:t>
      </w:r>
      <w:r w:rsidR="00BB090E" w:rsidRPr="005B57F2">
        <w:rPr>
          <w:rFonts w:cs="Arial"/>
          <w:color w:val="auto"/>
        </w:rPr>
        <w:t>year-end</w:t>
      </w:r>
      <w:r w:rsidR="005B57F2" w:rsidRPr="005B57F2">
        <w:rPr>
          <w:rFonts w:cs="Arial"/>
          <w:color w:val="auto"/>
        </w:rPr>
        <w:t xml:space="preserve"> adjustment for the revaluation of </w:t>
      </w:r>
      <w:r w:rsidR="00722C3E">
        <w:rPr>
          <w:rFonts w:cs="Arial"/>
          <w:color w:val="auto"/>
        </w:rPr>
        <w:t xml:space="preserve">shared ownership </w:t>
      </w:r>
      <w:r w:rsidR="005B57F2" w:rsidRPr="005B57F2">
        <w:rPr>
          <w:rFonts w:cs="Arial"/>
          <w:color w:val="auto"/>
        </w:rPr>
        <w:t>mortgage debt</w:t>
      </w:r>
      <w:r w:rsidR="00722C3E">
        <w:rPr>
          <w:rFonts w:cs="Arial"/>
          <w:color w:val="auto"/>
        </w:rPr>
        <w:t xml:space="preserve"> the financial effect of which is offset by a compensating adjustment </w:t>
      </w:r>
      <w:r w:rsidR="005B57F2" w:rsidRPr="005B57F2">
        <w:rPr>
          <w:rFonts w:cs="Arial"/>
          <w:color w:val="auto"/>
        </w:rPr>
        <w:t xml:space="preserve">showing within the Corporate accounts.  </w:t>
      </w:r>
      <w:r w:rsidR="00722C3E">
        <w:rPr>
          <w:rFonts w:cs="Arial"/>
          <w:color w:val="auto"/>
        </w:rPr>
        <w:t xml:space="preserve">Commercial property investment income over </w:t>
      </w:r>
      <w:r w:rsidR="005B57F2" w:rsidRPr="005B57F2">
        <w:rPr>
          <w:rFonts w:cs="Arial"/>
          <w:color w:val="auto"/>
        </w:rPr>
        <w:t>achieved its target</w:t>
      </w:r>
      <w:r w:rsidR="00993F40">
        <w:rPr>
          <w:rFonts w:cs="Arial"/>
          <w:color w:val="auto"/>
        </w:rPr>
        <w:t xml:space="preserve"> by £0.089 million</w:t>
      </w:r>
      <w:r w:rsidR="005B57F2" w:rsidRPr="005B57F2">
        <w:rPr>
          <w:rFonts w:cs="Arial"/>
          <w:color w:val="auto"/>
        </w:rPr>
        <w:t>.  The Property support services team have also had staffing vacancies throughout the year.  There has been a delay in some feasibility studies in year and a carry forward request for £110k has been submitted for these.</w:t>
      </w:r>
    </w:p>
    <w:p w14:paraId="34E77348" w14:textId="77777777" w:rsidR="00763052" w:rsidRPr="000E6801" w:rsidRDefault="00763052" w:rsidP="00763052">
      <w:pPr>
        <w:spacing w:after="0"/>
        <w:rPr>
          <w:rFonts w:cs="Arial"/>
          <w:color w:val="FF0000"/>
        </w:rPr>
      </w:pPr>
    </w:p>
    <w:p w14:paraId="2E3E739D" w14:textId="77777777" w:rsidR="00763052" w:rsidRPr="00BB2427" w:rsidRDefault="00763052" w:rsidP="00763052">
      <w:pPr>
        <w:spacing w:after="0"/>
        <w:rPr>
          <w:rFonts w:cs="Arial"/>
          <w:color w:val="auto"/>
        </w:rPr>
      </w:pPr>
    </w:p>
    <w:p w14:paraId="2CE61B70" w14:textId="77777777" w:rsidR="003D1D47" w:rsidRPr="00BB2427" w:rsidRDefault="00763052" w:rsidP="003D1D47">
      <w:pPr>
        <w:pStyle w:val="ListParagraph"/>
        <w:numPr>
          <w:ilvl w:val="0"/>
          <w:numId w:val="34"/>
        </w:numPr>
        <w:tabs>
          <w:tab w:val="clear" w:pos="426"/>
        </w:tabs>
        <w:spacing w:after="0" w:line="276" w:lineRule="auto"/>
        <w:contextualSpacing/>
        <w:rPr>
          <w:rFonts w:cs="Arial"/>
          <w:color w:val="auto"/>
        </w:rPr>
      </w:pPr>
      <w:r w:rsidRPr="00BB2427">
        <w:rPr>
          <w:rFonts w:cs="Arial"/>
          <w:b/>
          <w:color w:val="auto"/>
        </w:rPr>
        <w:t>Direct Services</w:t>
      </w:r>
      <w:r w:rsidRPr="00BB2427">
        <w:rPr>
          <w:rFonts w:cs="Arial"/>
          <w:color w:val="auto"/>
        </w:rPr>
        <w:t xml:space="preserve"> – year e</w:t>
      </w:r>
      <w:r w:rsidR="00E96D58" w:rsidRPr="00BB2427">
        <w:rPr>
          <w:rFonts w:cs="Arial"/>
          <w:color w:val="auto"/>
        </w:rPr>
        <w:t>nd favourable variance of (£</w:t>
      </w:r>
      <w:r w:rsidR="00A13B37">
        <w:rPr>
          <w:rFonts w:cs="Arial"/>
          <w:color w:val="auto"/>
        </w:rPr>
        <w:t>0.</w:t>
      </w:r>
      <w:r w:rsidR="00484780" w:rsidRPr="00BB2427">
        <w:rPr>
          <w:rFonts w:cs="Arial"/>
          <w:color w:val="auto"/>
        </w:rPr>
        <w:t>813</w:t>
      </w:r>
      <w:r w:rsidR="00170D87" w:rsidRPr="00BB2427">
        <w:rPr>
          <w:rFonts w:cs="Arial"/>
          <w:color w:val="auto"/>
        </w:rPr>
        <w:t xml:space="preserve">) million, </w:t>
      </w:r>
      <w:r w:rsidR="005B57F2" w:rsidRPr="00BB2427">
        <w:rPr>
          <w:rFonts w:cs="Arial"/>
          <w:color w:val="auto"/>
        </w:rPr>
        <w:t xml:space="preserve">fuel prices have been increasing throughout the year and have led to </w:t>
      </w:r>
      <w:proofErr w:type="gramStart"/>
      <w:r w:rsidR="005B57F2" w:rsidRPr="00BB2427">
        <w:rPr>
          <w:rFonts w:cs="Arial"/>
          <w:color w:val="auto"/>
        </w:rPr>
        <w:t>an overspend</w:t>
      </w:r>
      <w:proofErr w:type="gramEnd"/>
      <w:r w:rsidR="005B57F2" w:rsidRPr="00BB2427">
        <w:rPr>
          <w:rFonts w:cs="Arial"/>
          <w:color w:val="auto"/>
        </w:rPr>
        <w:t xml:space="preserve"> of £0.086 million in this area.  There has been </w:t>
      </w:r>
      <w:r w:rsidRPr="00BB2427">
        <w:rPr>
          <w:rFonts w:cs="Arial"/>
          <w:color w:val="auto"/>
        </w:rPr>
        <w:t xml:space="preserve">overachievement of income in </w:t>
      </w:r>
      <w:r w:rsidR="005B57F2" w:rsidRPr="00BB2427">
        <w:rPr>
          <w:rFonts w:cs="Arial"/>
          <w:color w:val="auto"/>
        </w:rPr>
        <w:t>Commercial</w:t>
      </w:r>
      <w:r w:rsidRPr="00BB2427">
        <w:rPr>
          <w:rFonts w:cs="Arial"/>
          <w:color w:val="auto"/>
        </w:rPr>
        <w:t xml:space="preserve"> Waste</w:t>
      </w:r>
      <w:r w:rsidR="005B57F2" w:rsidRPr="00BB2427">
        <w:rPr>
          <w:rFonts w:cs="Arial"/>
          <w:color w:val="auto"/>
        </w:rPr>
        <w:t xml:space="preserve"> (£0.125</w:t>
      </w:r>
      <w:r w:rsidR="00170D87" w:rsidRPr="00BB2427">
        <w:rPr>
          <w:rFonts w:cs="Arial"/>
          <w:color w:val="auto"/>
        </w:rPr>
        <w:t>) million</w:t>
      </w:r>
      <w:r w:rsidR="00BB2427" w:rsidRPr="00BB2427">
        <w:rPr>
          <w:rFonts w:cs="Arial"/>
          <w:color w:val="auto"/>
        </w:rPr>
        <w:t xml:space="preserve"> and engineering services (£0.439) million.  Off street parking has achieved an additional </w:t>
      </w:r>
      <w:r w:rsidR="00170D87" w:rsidRPr="00BB2427">
        <w:rPr>
          <w:rFonts w:cs="Arial"/>
          <w:color w:val="auto"/>
        </w:rPr>
        <w:t>(£0.</w:t>
      </w:r>
      <w:r w:rsidR="005B57F2" w:rsidRPr="00BB2427">
        <w:rPr>
          <w:rFonts w:cs="Arial"/>
          <w:color w:val="auto"/>
        </w:rPr>
        <w:t>110</w:t>
      </w:r>
      <w:r w:rsidR="00170D87" w:rsidRPr="00BB2427">
        <w:rPr>
          <w:rFonts w:cs="Arial"/>
          <w:color w:val="auto"/>
        </w:rPr>
        <w:t xml:space="preserve">) </w:t>
      </w:r>
      <w:proofErr w:type="gramStart"/>
      <w:r w:rsidR="00170D87" w:rsidRPr="00BB2427">
        <w:rPr>
          <w:rFonts w:cs="Arial"/>
          <w:color w:val="auto"/>
        </w:rPr>
        <w:t>million</w:t>
      </w:r>
      <w:r w:rsidRPr="00BB2427">
        <w:rPr>
          <w:rFonts w:cs="Arial"/>
          <w:color w:val="auto"/>
        </w:rPr>
        <w:t xml:space="preserve"> </w:t>
      </w:r>
      <w:r w:rsidR="00BB2427" w:rsidRPr="00BB2427">
        <w:rPr>
          <w:rFonts w:cs="Arial"/>
          <w:color w:val="auto"/>
        </w:rPr>
        <w:t>,</w:t>
      </w:r>
      <w:proofErr w:type="gramEnd"/>
      <w:r w:rsidR="00BB2427" w:rsidRPr="00BB2427">
        <w:rPr>
          <w:rFonts w:cs="Arial"/>
          <w:color w:val="auto"/>
        </w:rPr>
        <w:t xml:space="preserve"> this has offset unachieved budgeted additional income of £0.160 million for </w:t>
      </w:r>
      <w:proofErr w:type="spellStart"/>
      <w:r w:rsidR="00BB2427" w:rsidRPr="00BB2427">
        <w:rPr>
          <w:rFonts w:cs="Arial"/>
          <w:color w:val="auto"/>
        </w:rPr>
        <w:t>Seacourt</w:t>
      </w:r>
      <w:proofErr w:type="spellEnd"/>
      <w:r w:rsidR="00BB2427" w:rsidRPr="00BB2427">
        <w:rPr>
          <w:rFonts w:cs="Arial"/>
          <w:color w:val="auto"/>
        </w:rPr>
        <w:t xml:space="preserve"> Park and Ride</w:t>
      </w:r>
      <w:r w:rsidRPr="00BB2427">
        <w:rPr>
          <w:rFonts w:cs="Arial"/>
          <w:color w:val="auto"/>
        </w:rPr>
        <w:t xml:space="preserve">.  </w:t>
      </w:r>
    </w:p>
    <w:p w14:paraId="12B76385" w14:textId="77777777" w:rsidR="00BB2427" w:rsidRPr="00BB2427" w:rsidRDefault="00BB2427" w:rsidP="003D1D47">
      <w:pPr>
        <w:pStyle w:val="ListParagraph"/>
        <w:numPr>
          <w:ilvl w:val="0"/>
          <w:numId w:val="0"/>
        </w:numPr>
        <w:tabs>
          <w:tab w:val="clear" w:pos="426"/>
        </w:tabs>
        <w:spacing w:after="0" w:line="276" w:lineRule="auto"/>
        <w:ind w:left="720"/>
        <w:contextualSpacing/>
        <w:rPr>
          <w:rFonts w:cs="Arial"/>
          <w:color w:val="auto"/>
        </w:rPr>
      </w:pPr>
    </w:p>
    <w:p w14:paraId="207191E7" w14:textId="77777777" w:rsidR="00BB2427" w:rsidRPr="00BB2427" w:rsidRDefault="00BB2427" w:rsidP="00BB2427">
      <w:pPr>
        <w:pStyle w:val="ListParagraph"/>
        <w:numPr>
          <w:ilvl w:val="0"/>
          <w:numId w:val="34"/>
        </w:numPr>
        <w:tabs>
          <w:tab w:val="clear" w:pos="426"/>
        </w:tabs>
        <w:rPr>
          <w:color w:val="auto"/>
        </w:rPr>
      </w:pPr>
      <w:r w:rsidRPr="00BB2427">
        <w:rPr>
          <w:rFonts w:cs="Arial"/>
          <w:b/>
          <w:color w:val="auto"/>
        </w:rPr>
        <w:t>Business Improvement</w:t>
      </w:r>
      <w:r w:rsidRPr="00BB2427">
        <w:rPr>
          <w:rFonts w:cs="Arial"/>
          <w:color w:val="auto"/>
        </w:rPr>
        <w:t xml:space="preserve"> – year end favourable variance of (£0.218) million due to staff turnover and vacancies within the Business Improvement team, offset by an adverse variance in ICT due to pressures on the telephony budget and temporary staffing.  HR &amp; OD have a favourable variance due to the apprentice programme and training budget, and a </w:t>
      </w:r>
      <w:proofErr w:type="spellStart"/>
      <w:r w:rsidRPr="00BB2427">
        <w:rPr>
          <w:rFonts w:cs="Arial"/>
          <w:color w:val="auto"/>
        </w:rPr>
        <w:t>carryforward</w:t>
      </w:r>
      <w:proofErr w:type="spellEnd"/>
      <w:r w:rsidRPr="00BB2427">
        <w:rPr>
          <w:rFonts w:cs="Arial"/>
          <w:color w:val="auto"/>
        </w:rPr>
        <w:t xml:space="preserve"> request has been submitted to carry these funds into 2018/19.</w:t>
      </w:r>
    </w:p>
    <w:p w14:paraId="3FF70151" w14:textId="77777777" w:rsidR="0095091F" w:rsidRPr="00063A0F" w:rsidRDefault="0095091F" w:rsidP="00763052">
      <w:pPr>
        <w:pStyle w:val="ListParagraph"/>
        <w:numPr>
          <w:ilvl w:val="0"/>
          <w:numId w:val="34"/>
        </w:numPr>
        <w:tabs>
          <w:tab w:val="clear" w:pos="426"/>
        </w:tabs>
        <w:rPr>
          <w:color w:val="auto"/>
        </w:rPr>
      </w:pPr>
      <w:r w:rsidRPr="00063A0F">
        <w:rPr>
          <w:b/>
          <w:color w:val="auto"/>
        </w:rPr>
        <w:t>Service Level Agreements and Capital Charges</w:t>
      </w:r>
      <w:r w:rsidRPr="00063A0F">
        <w:rPr>
          <w:color w:val="auto"/>
        </w:rPr>
        <w:t xml:space="preserve"> are showing </w:t>
      </w:r>
      <w:r w:rsidR="00484780" w:rsidRPr="00063A0F">
        <w:rPr>
          <w:color w:val="auto"/>
        </w:rPr>
        <w:t>a favourable variance of (£3.068</w:t>
      </w:r>
      <w:r w:rsidRPr="00063A0F">
        <w:rPr>
          <w:color w:val="auto"/>
        </w:rPr>
        <w:t xml:space="preserve">) million due to </w:t>
      </w:r>
      <w:r w:rsidR="009A2E0A" w:rsidRPr="00063A0F">
        <w:rPr>
          <w:color w:val="auto"/>
        </w:rPr>
        <w:t xml:space="preserve">a </w:t>
      </w:r>
      <w:r w:rsidRPr="00063A0F">
        <w:rPr>
          <w:color w:val="auto"/>
        </w:rPr>
        <w:t>significant upward revaluation of the Council</w:t>
      </w:r>
      <w:r w:rsidR="007B0F89" w:rsidRPr="00063A0F">
        <w:rPr>
          <w:color w:val="auto"/>
        </w:rPr>
        <w:t>’s</w:t>
      </w:r>
      <w:r w:rsidRPr="00063A0F">
        <w:rPr>
          <w:color w:val="auto"/>
        </w:rPr>
        <w:t xml:space="preserve"> Investment Properties.  This is </w:t>
      </w:r>
      <w:proofErr w:type="spellStart"/>
      <w:r w:rsidRPr="00063A0F">
        <w:rPr>
          <w:color w:val="auto"/>
        </w:rPr>
        <w:t>off set</w:t>
      </w:r>
      <w:proofErr w:type="spellEnd"/>
      <w:r w:rsidRPr="00063A0F">
        <w:rPr>
          <w:color w:val="auto"/>
        </w:rPr>
        <w:t xml:space="preserve"> by a corresponding entry </w:t>
      </w:r>
      <w:r w:rsidR="004169B8" w:rsidRPr="00063A0F">
        <w:rPr>
          <w:color w:val="auto"/>
        </w:rPr>
        <w:t xml:space="preserve">in accordance with Local Government accounting </w:t>
      </w:r>
      <w:r w:rsidRPr="00063A0F">
        <w:rPr>
          <w:color w:val="auto"/>
        </w:rPr>
        <w:t xml:space="preserve">within the Corporate </w:t>
      </w:r>
      <w:r w:rsidR="007B0F89" w:rsidRPr="00063A0F">
        <w:rPr>
          <w:color w:val="auto"/>
        </w:rPr>
        <w:t>Accounts</w:t>
      </w:r>
      <w:r w:rsidRPr="00063A0F">
        <w:rPr>
          <w:color w:val="auto"/>
        </w:rPr>
        <w:t>, to ensure that this does not have an overall impact on the bottom line of the financial accounts.</w:t>
      </w:r>
    </w:p>
    <w:p w14:paraId="01FA5553" w14:textId="77777777" w:rsidR="00D163D7" w:rsidRPr="000E6801" w:rsidRDefault="00D163D7" w:rsidP="00763052">
      <w:pPr>
        <w:pStyle w:val="ListParagraph"/>
        <w:numPr>
          <w:ilvl w:val="0"/>
          <w:numId w:val="0"/>
        </w:numPr>
        <w:tabs>
          <w:tab w:val="clear" w:pos="426"/>
        </w:tabs>
        <w:ind w:left="1429"/>
        <w:rPr>
          <w:color w:val="FF0000"/>
        </w:rPr>
      </w:pPr>
    </w:p>
    <w:p w14:paraId="7BA7FCE8" w14:textId="77777777" w:rsidR="008D5B32" w:rsidRPr="00063A0F" w:rsidRDefault="00156074" w:rsidP="008D5B32">
      <w:pPr>
        <w:pStyle w:val="ListParagraph"/>
        <w:numPr>
          <w:ilvl w:val="0"/>
          <w:numId w:val="0"/>
        </w:numPr>
        <w:rPr>
          <w:b/>
          <w:color w:val="auto"/>
        </w:rPr>
      </w:pPr>
      <w:r w:rsidRPr="00063A0F">
        <w:rPr>
          <w:rFonts w:eastAsia="Calibri" w:cs="Arial"/>
          <w:b/>
          <w:color w:val="auto"/>
        </w:rPr>
        <w:t xml:space="preserve">Corporate Accounts, Contingencies and Transfers to/from </w:t>
      </w:r>
      <w:r w:rsidR="00063A0F" w:rsidRPr="00063A0F">
        <w:rPr>
          <w:rFonts w:eastAsia="Calibri" w:cs="Arial"/>
          <w:b/>
          <w:color w:val="auto"/>
        </w:rPr>
        <w:t xml:space="preserve">Earmarked </w:t>
      </w:r>
      <w:r w:rsidRPr="00063A0F">
        <w:rPr>
          <w:rFonts w:eastAsia="Calibri" w:cs="Arial"/>
          <w:b/>
          <w:color w:val="auto"/>
        </w:rPr>
        <w:t>Reserves</w:t>
      </w:r>
    </w:p>
    <w:p w14:paraId="769E537B" w14:textId="77777777" w:rsidR="00F571F9" w:rsidRDefault="00156074" w:rsidP="00536537">
      <w:pPr>
        <w:pStyle w:val="ListParagraph"/>
        <w:rPr>
          <w:color w:val="auto"/>
        </w:rPr>
      </w:pPr>
      <w:r w:rsidRPr="00063A0F">
        <w:rPr>
          <w:color w:val="auto"/>
        </w:rPr>
        <w:t xml:space="preserve">The </w:t>
      </w:r>
      <w:r w:rsidR="00993F40">
        <w:rPr>
          <w:color w:val="auto"/>
        </w:rPr>
        <w:t>adverse variance</w:t>
      </w:r>
      <w:r w:rsidRPr="00063A0F">
        <w:rPr>
          <w:color w:val="auto"/>
        </w:rPr>
        <w:t xml:space="preserve"> of </w:t>
      </w:r>
      <w:r w:rsidR="0095091F" w:rsidRPr="00063A0F">
        <w:rPr>
          <w:color w:val="auto"/>
        </w:rPr>
        <w:t>£</w:t>
      </w:r>
      <w:r w:rsidR="00993F40">
        <w:rPr>
          <w:color w:val="auto"/>
        </w:rPr>
        <w:t>6.</w:t>
      </w:r>
      <w:r w:rsidR="00063A0F" w:rsidRPr="00063A0F">
        <w:rPr>
          <w:color w:val="auto"/>
        </w:rPr>
        <w:t>251</w:t>
      </w:r>
      <w:r w:rsidR="0095091F" w:rsidRPr="00063A0F">
        <w:rPr>
          <w:color w:val="auto"/>
        </w:rPr>
        <w:t xml:space="preserve"> million on the </w:t>
      </w:r>
      <w:r w:rsidR="00614AE0" w:rsidRPr="00063A0F">
        <w:rPr>
          <w:color w:val="auto"/>
        </w:rPr>
        <w:t xml:space="preserve">Corporate Accounts is </w:t>
      </w:r>
      <w:r w:rsidR="00063A0F" w:rsidRPr="00063A0F">
        <w:rPr>
          <w:color w:val="auto"/>
        </w:rPr>
        <w:t>due to</w:t>
      </w:r>
    </w:p>
    <w:p w14:paraId="32F5888D" w14:textId="77777777" w:rsidR="00F571F9" w:rsidRDefault="00F571F9" w:rsidP="00F571F9">
      <w:pPr>
        <w:pStyle w:val="ListParagraph"/>
        <w:numPr>
          <w:ilvl w:val="0"/>
          <w:numId w:val="39"/>
        </w:numPr>
        <w:rPr>
          <w:color w:val="auto"/>
        </w:rPr>
      </w:pPr>
      <w:r w:rsidRPr="00F571F9">
        <w:rPr>
          <w:color w:val="auto"/>
        </w:rPr>
        <w:t xml:space="preserve">Compensating adjustment in respect of the </w:t>
      </w:r>
      <w:r w:rsidRPr="005B57F2">
        <w:rPr>
          <w:rFonts w:cs="Arial"/>
          <w:color w:val="auto"/>
        </w:rPr>
        <w:t xml:space="preserve">revaluation of </w:t>
      </w:r>
      <w:r>
        <w:rPr>
          <w:rFonts w:cs="Arial"/>
          <w:color w:val="auto"/>
        </w:rPr>
        <w:t xml:space="preserve">shared ownership </w:t>
      </w:r>
      <w:r w:rsidRPr="005B57F2">
        <w:rPr>
          <w:rFonts w:cs="Arial"/>
          <w:color w:val="auto"/>
        </w:rPr>
        <w:t>mortgage debt</w:t>
      </w:r>
      <w:r w:rsidRPr="00F571F9">
        <w:rPr>
          <w:color w:val="auto"/>
        </w:rPr>
        <w:t xml:space="preserve"> </w:t>
      </w:r>
      <w:r>
        <w:rPr>
          <w:color w:val="auto"/>
        </w:rPr>
        <w:t>;</w:t>
      </w:r>
    </w:p>
    <w:p w14:paraId="10844E3C" w14:textId="77777777" w:rsidR="00F571F9" w:rsidRDefault="00F571F9" w:rsidP="00F571F9">
      <w:pPr>
        <w:pStyle w:val="ListParagraph"/>
        <w:numPr>
          <w:ilvl w:val="0"/>
          <w:numId w:val="39"/>
        </w:numPr>
        <w:rPr>
          <w:color w:val="auto"/>
        </w:rPr>
      </w:pPr>
      <w:r>
        <w:rPr>
          <w:color w:val="auto"/>
        </w:rPr>
        <w:t>Compensating adjustment in respect of the revaluation of the Council’s Investment Properties;</w:t>
      </w:r>
    </w:p>
    <w:p w14:paraId="3EBA1270" w14:textId="77777777" w:rsidR="00F571F9" w:rsidRDefault="00F571F9" w:rsidP="00F571F9">
      <w:pPr>
        <w:pStyle w:val="ListParagraph"/>
        <w:numPr>
          <w:ilvl w:val="0"/>
          <w:numId w:val="39"/>
        </w:numPr>
        <w:rPr>
          <w:color w:val="auto"/>
        </w:rPr>
      </w:pPr>
      <w:r>
        <w:rPr>
          <w:color w:val="auto"/>
        </w:rPr>
        <w:t>An increase in the use of revenue contributions to finance the capital programme to mitigate the need to borrow</w:t>
      </w:r>
    </w:p>
    <w:p w14:paraId="036226D6" w14:textId="77777777" w:rsidR="0095091F" w:rsidRPr="00F571F9" w:rsidRDefault="0095091F" w:rsidP="00F571F9">
      <w:pPr>
        <w:pStyle w:val="ListParagraph"/>
        <w:rPr>
          <w:color w:val="auto"/>
        </w:rPr>
      </w:pPr>
      <w:r w:rsidRPr="00993F40">
        <w:rPr>
          <w:b/>
          <w:color w:val="auto"/>
        </w:rPr>
        <w:t>Local cost of benefits</w:t>
      </w:r>
      <w:r w:rsidRPr="00993F40">
        <w:rPr>
          <w:color w:val="auto"/>
        </w:rPr>
        <w:t xml:space="preserve"> - </w:t>
      </w:r>
      <w:r w:rsidR="00993F40">
        <w:rPr>
          <w:color w:val="auto"/>
        </w:rPr>
        <w:t xml:space="preserve">an adverse variance of £0.558 million at the end of the year has arisen from the Housing Benefit expenditure in relation to local authority error </w:t>
      </w:r>
      <w:r w:rsidR="00233A3B">
        <w:rPr>
          <w:color w:val="auto"/>
        </w:rPr>
        <w:t xml:space="preserve">and admin </w:t>
      </w:r>
      <w:proofErr w:type="gramStart"/>
      <w:r w:rsidR="00233A3B">
        <w:rPr>
          <w:color w:val="auto"/>
        </w:rPr>
        <w:t xml:space="preserve">delays </w:t>
      </w:r>
      <w:r w:rsidR="00993F40">
        <w:rPr>
          <w:color w:val="auto"/>
        </w:rPr>
        <w:t xml:space="preserve"> above</w:t>
      </w:r>
      <w:proofErr w:type="gramEnd"/>
      <w:r w:rsidR="00F571F9">
        <w:rPr>
          <w:color w:val="auto"/>
        </w:rPr>
        <w:t xml:space="preserve"> the upper threshold at which subsidy is </w:t>
      </w:r>
      <w:r w:rsidR="00233A3B">
        <w:rPr>
          <w:color w:val="auto"/>
        </w:rPr>
        <w:t>not payable</w:t>
      </w:r>
      <w:r w:rsidR="00F571F9">
        <w:rPr>
          <w:color w:val="auto"/>
        </w:rPr>
        <w:t xml:space="preserve">.  Losses of subsidy are offset against income received from overpaid Housing </w:t>
      </w:r>
      <w:r w:rsidR="00F571F9">
        <w:rPr>
          <w:color w:val="auto"/>
        </w:rPr>
        <w:lastRenderedPageBreak/>
        <w:t>Benefit</w:t>
      </w:r>
      <w:r w:rsidR="00F571F9" w:rsidRPr="00627D0F">
        <w:rPr>
          <w:color w:val="auto"/>
        </w:rPr>
        <w:t>.  This variance has been</w:t>
      </w:r>
      <w:r w:rsidR="00627D0F" w:rsidRPr="00627D0F">
        <w:rPr>
          <w:color w:val="auto"/>
        </w:rPr>
        <w:t xml:space="preserve"> offset</w:t>
      </w:r>
      <w:r w:rsidR="00627D0F">
        <w:rPr>
          <w:color w:val="auto"/>
        </w:rPr>
        <w:t xml:space="preserve"> by the use of reserves which were previously set aside for this reason.</w:t>
      </w:r>
      <w:r w:rsidR="00F571F9">
        <w:rPr>
          <w:color w:val="auto"/>
        </w:rPr>
        <w:t xml:space="preserve"> </w:t>
      </w:r>
      <w:r w:rsidR="00993F40" w:rsidRPr="00F571F9">
        <w:rPr>
          <w:color w:val="auto"/>
        </w:rPr>
        <w:t xml:space="preserve"> </w:t>
      </w:r>
    </w:p>
    <w:p w14:paraId="6778928B" w14:textId="77777777" w:rsidR="00BA0971" w:rsidRPr="00063A0F" w:rsidRDefault="00BA0971" w:rsidP="00536537">
      <w:pPr>
        <w:pStyle w:val="ListParagraph"/>
        <w:rPr>
          <w:color w:val="auto"/>
        </w:rPr>
      </w:pPr>
      <w:r w:rsidRPr="00063A0F">
        <w:rPr>
          <w:b/>
          <w:color w:val="auto"/>
        </w:rPr>
        <w:t xml:space="preserve">Investment Income </w:t>
      </w:r>
      <w:r w:rsidR="00063A0F" w:rsidRPr="00063A0F">
        <w:rPr>
          <w:color w:val="auto"/>
        </w:rPr>
        <w:t>– a favourable variance of £0.32</w:t>
      </w:r>
      <w:r w:rsidRPr="00063A0F">
        <w:rPr>
          <w:color w:val="auto"/>
        </w:rPr>
        <w:t>8 million has arisen from increased investment income from our property fund investments and</w:t>
      </w:r>
      <w:r w:rsidR="004169B8" w:rsidRPr="00063A0F">
        <w:rPr>
          <w:color w:val="auto"/>
        </w:rPr>
        <w:t xml:space="preserve"> loans to</w:t>
      </w:r>
      <w:r w:rsidRPr="00063A0F">
        <w:rPr>
          <w:color w:val="auto"/>
        </w:rPr>
        <w:t xml:space="preserve"> </w:t>
      </w:r>
      <w:proofErr w:type="spellStart"/>
      <w:r w:rsidRPr="00063A0F">
        <w:rPr>
          <w:color w:val="auto"/>
        </w:rPr>
        <w:t>Oxwed</w:t>
      </w:r>
      <w:proofErr w:type="spellEnd"/>
      <w:r w:rsidR="0036290C" w:rsidRPr="00063A0F">
        <w:rPr>
          <w:color w:val="auto"/>
        </w:rPr>
        <w:t xml:space="preserve"> (our West End delivery partnership)</w:t>
      </w:r>
      <w:r w:rsidRPr="00063A0F">
        <w:rPr>
          <w:color w:val="auto"/>
        </w:rPr>
        <w:t>.</w:t>
      </w:r>
    </w:p>
    <w:p w14:paraId="179ABE2F" w14:textId="77777777" w:rsidR="00156074" w:rsidRPr="00063A0F" w:rsidRDefault="00156074" w:rsidP="00156074">
      <w:pPr>
        <w:pStyle w:val="ListParagraph"/>
        <w:numPr>
          <w:ilvl w:val="0"/>
          <w:numId w:val="0"/>
        </w:numPr>
        <w:ind w:left="426" w:hanging="426"/>
        <w:rPr>
          <w:b/>
          <w:color w:val="auto"/>
        </w:rPr>
      </w:pPr>
      <w:r w:rsidRPr="00063A0F">
        <w:rPr>
          <w:b/>
          <w:color w:val="auto"/>
        </w:rPr>
        <w:t>Housing Revenue Account</w:t>
      </w:r>
    </w:p>
    <w:p w14:paraId="267EC2D4" w14:textId="77777777" w:rsidR="00EB068A" w:rsidRPr="00063A0F" w:rsidRDefault="00536537" w:rsidP="00C12317">
      <w:pPr>
        <w:pStyle w:val="ListParagraph"/>
        <w:rPr>
          <w:color w:val="auto"/>
        </w:rPr>
      </w:pPr>
      <w:r w:rsidRPr="00063A0F">
        <w:rPr>
          <w:color w:val="auto"/>
        </w:rPr>
        <w:t>The</w:t>
      </w:r>
      <w:r w:rsidR="00C12317" w:rsidRPr="00063A0F">
        <w:rPr>
          <w:color w:val="auto"/>
        </w:rPr>
        <w:t xml:space="preserve"> </w:t>
      </w:r>
      <w:r w:rsidR="00EB068A" w:rsidRPr="00063A0F">
        <w:rPr>
          <w:color w:val="auto"/>
        </w:rPr>
        <w:t xml:space="preserve">HRA </w:t>
      </w:r>
      <w:r w:rsidR="0074211E" w:rsidRPr="00063A0F">
        <w:rPr>
          <w:color w:val="auto"/>
        </w:rPr>
        <w:t>is</w:t>
      </w:r>
      <w:r w:rsidR="00EB068A" w:rsidRPr="00063A0F">
        <w:rPr>
          <w:color w:val="auto"/>
        </w:rPr>
        <w:t xml:space="preserve"> showing</w:t>
      </w:r>
      <w:r w:rsidR="0074211E" w:rsidRPr="00063A0F">
        <w:rPr>
          <w:color w:val="auto"/>
        </w:rPr>
        <w:t xml:space="preserve"> a </w:t>
      </w:r>
      <w:r w:rsidR="00C12317" w:rsidRPr="00063A0F">
        <w:rPr>
          <w:color w:val="auto"/>
        </w:rPr>
        <w:t>favourabl</w:t>
      </w:r>
      <w:r w:rsidR="002E3561" w:rsidRPr="00063A0F">
        <w:rPr>
          <w:color w:val="auto"/>
        </w:rPr>
        <w:t xml:space="preserve">e </w:t>
      </w:r>
      <w:r w:rsidR="00C12317" w:rsidRPr="00063A0F">
        <w:rPr>
          <w:color w:val="auto"/>
        </w:rPr>
        <w:t xml:space="preserve">variance on the </w:t>
      </w:r>
      <w:r w:rsidRPr="00063A0F">
        <w:rPr>
          <w:color w:val="auto"/>
        </w:rPr>
        <w:t xml:space="preserve">HRA </w:t>
      </w:r>
      <w:r w:rsidR="0074211E" w:rsidRPr="00063A0F">
        <w:rPr>
          <w:color w:val="auto"/>
        </w:rPr>
        <w:t>of</w:t>
      </w:r>
      <w:r w:rsidRPr="00063A0F">
        <w:rPr>
          <w:color w:val="auto"/>
        </w:rPr>
        <w:t xml:space="preserve"> </w:t>
      </w:r>
      <w:r w:rsidR="00703F5D" w:rsidRPr="00063A0F">
        <w:rPr>
          <w:color w:val="auto"/>
        </w:rPr>
        <w:t>(</w:t>
      </w:r>
      <w:r w:rsidR="00063A0F" w:rsidRPr="00063A0F">
        <w:rPr>
          <w:color w:val="auto"/>
        </w:rPr>
        <w:t>£</w:t>
      </w:r>
      <w:r w:rsidR="00D357A0">
        <w:rPr>
          <w:color w:val="auto"/>
        </w:rPr>
        <w:t>0.550</w:t>
      </w:r>
      <w:r w:rsidR="00703F5D" w:rsidRPr="00063A0F">
        <w:rPr>
          <w:color w:val="auto"/>
        </w:rPr>
        <w:t>)</w:t>
      </w:r>
      <w:r w:rsidR="001E5C87" w:rsidRPr="00063A0F">
        <w:rPr>
          <w:color w:val="auto"/>
        </w:rPr>
        <w:t xml:space="preserve"> million </w:t>
      </w:r>
      <w:r w:rsidR="00BB090E">
        <w:rPr>
          <w:color w:val="auto"/>
        </w:rPr>
        <w:t xml:space="preserve">above the original budgeted </w:t>
      </w:r>
      <w:r w:rsidR="001E5C87" w:rsidRPr="00063A0F">
        <w:rPr>
          <w:color w:val="auto"/>
        </w:rPr>
        <w:t xml:space="preserve">surplus of </w:t>
      </w:r>
      <w:r w:rsidR="00703F5D" w:rsidRPr="00063A0F">
        <w:rPr>
          <w:color w:val="auto"/>
        </w:rPr>
        <w:t>(</w:t>
      </w:r>
      <w:r w:rsidR="00063A0F" w:rsidRPr="00063A0F">
        <w:rPr>
          <w:color w:val="auto"/>
        </w:rPr>
        <w:t>£5.619</w:t>
      </w:r>
      <w:r w:rsidR="00703F5D" w:rsidRPr="00063A0F">
        <w:rPr>
          <w:color w:val="auto"/>
        </w:rPr>
        <w:t>)</w:t>
      </w:r>
      <w:r w:rsidR="001E5C87" w:rsidRPr="00063A0F">
        <w:rPr>
          <w:color w:val="auto"/>
        </w:rPr>
        <w:t xml:space="preserve"> million</w:t>
      </w:r>
      <w:r w:rsidR="000D6E10" w:rsidRPr="00063A0F">
        <w:rPr>
          <w:color w:val="auto"/>
        </w:rPr>
        <w:t xml:space="preserve"> (Appendix C)</w:t>
      </w:r>
      <w:r w:rsidR="00C12317" w:rsidRPr="00063A0F">
        <w:rPr>
          <w:color w:val="auto"/>
        </w:rPr>
        <w:t xml:space="preserve">.  This is </w:t>
      </w:r>
      <w:r w:rsidR="00D357A0">
        <w:rPr>
          <w:color w:val="auto"/>
        </w:rPr>
        <w:t>after allowing for</w:t>
      </w:r>
      <w:r w:rsidR="00EB068A" w:rsidRPr="00063A0F">
        <w:rPr>
          <w:color w:val="auto"/>
        </w:rPr>
        <w:t xml:space="preserve"> carry forward </w:t>
      </w:r>
      <w:r w:rsidR="00C12317" w:rsidRPr="00063A0F">
        <w:rPr>
          <w:color w:val="auto"/>
        </w:rPr>
        <w:t>request</w:t>
      </w:r>
      <w:r w:rsidR="00EB068A" w:rsidRPr="00063A0F">
        <w:rPr>
          <w:color w:val="auto"/>
        </w:rPr>
        <w:t>s, totalling</w:t>
      </w:r>
      <w:r w:rsidR="00063A0F" w:rsidRPr="00063A0F">
        <w:rPr>
          <w:color w:val="auto"/>
        </w:rPr>
        <w:t xml:space="preserve"> £0.495</w:t>
      </w:r>
      <w:r w:rsidR="00C12317" w:rsidRPr="00063A0F">
        <w:rPr>
          <w:color w:val="auto"/>
        </w:rPr>
        <w:t xml:space="preserve"> million, </w:t>
      </w:r>
      <w:r w:rsidR="00063A0F" w:rsidRPr="00063A0F">
        <w:rPr>
          <w:color w:val="auto"/>
        </w:rPr>
        <w:t>£70</w:t>
      </w:r>
      <w:r w:rsidR="003E74D0" w:rsidRPr="00063A0F">
        <w:rPr>
          <w:color w:val="auto"/>
        </w:rPr>
        <w:t xml:space="preserve">k of new </w:t>
      </w:r>
      <w:r w:rsidR="00885E16" w:rsidRPr="00063A0F">
        <w:rPr>
          <w:color w:val="auto"/>
        </w:rPr>
        <w:t>schemes</w:t>
      </w:r>
      <w:r w:rsidR="00063A0F" w:rsidRPr="00063A0F">
        <w:rPr>
          <w:color w:val="auto"/>
        </w:rPr>
        <w:t xml:space="preserve"> and £425</w:t>
      </w:r>
      <w:r w:rsidR="003E74D0" w:rsidRPr="00063A0F">
        <w:rPr>
          <w:color w:val="auto"/>
        </w:rPr>
        <w:t>k in respect of slippage</w:t>
      </w:r>
      <w:r w:rsidR="00C12317" w:rsidRPr="00063A0F">
        <w:rPr>
          <w:color w:val="auto"/>
        </w:rPr>
        <w:t>.</w:t>
      </w:r>
      <w:r w:rsidR="003E74D0" w:rsidRPr="00063A0F">
        <w:rPr>
          <w:color w:val="auto"/>
        </w:rPr>
        <w:t xml:space="preserve"> </w:t>
      </w:r>
    </w:p>
    <w:p w14:paraId="680509DE" w14:textId="77777777" w:rsidR="00C12317" w:rsidRPr="008F2876" w:rsidRDefault="008F2876" w:rsidP="00C12317">
      <w:pPr>
        <w:pStyle w:val="ListParagraph"/>
        <w:rPr>
          <w:color w:val="auto"/>
        </w:rPr>
      </w:pPr>
      <w:r w:rsidRPr="008F2876">
        <w:rPr>
          <w:color w:val="auto"/>
        </w:rPr>
        <w:t>The £70k for a n</w:t>
      </w:r>
      <w:r w:rsidR="003E74D0" w:rsidRPr="008F2876">
        <w:rPr>
          <w:color w:val="auto"/>
        </w:rPr>
        <w:t>ew scheme</w:t>
      </w:r>
      <w:r w:rsidRPr="008F2876">
        <w:rPr>
          <w:color w:val="auto"/>
        </w:rPr>
        <w:t xml:space="preserve"> is to provide some temporary resources in the Tenancy Management Team, who have a number of staffing issues including </w:t>
      </w:r>
      <w:r w:rsidR="00BB090E">
        <w:rPr>
          <w:color w:val="auto"/>
        </w:rPr>
        <w:t xml:space="preserve">dealing with some </w:t>
      </w:r>
      <w:r w:rsidRPr="008F2876">
        <w:rPr>
          <w:color w:val="auto"/>
        </w:rPr>
        <w:t>long term sickness</w:t>
      </w:r>
      <w:r w:rsidR="00BB090E">
        <w:rPr>
          <w:color w:val="auto"/>
        </w:rPr>
        <w:t xml:space="preserve"> and</w:t>
      </w:r>
      <w:r w:rsidRPr="008F2876">
        <w:rPr>
          <w:color w:val="auto"/>
        </w:rPr>
        <w:t>,</w:t>
      </w:r>
      <w:r w:rsidR="00BB090E">
        <w:rPr>
          <w:color w:val="auto"/>
        </w:rPr>
        <w:t xml:space="preserve"> consequently</w:t>
      </w:r>
      <w:r w:rsidRPr="008F2876">
        <w:rPr>
          <w:color w:val="auto"/>
        </w:rPr>
        <w:t xml:space="preserve"> these temporary resources will enable the team to operate </w:t>
      </w:r>
      <w:r w:rsidR="00BB090E">
        <w:rPr>
          <w:color w:val="auto"/>
        </w:rPr>
        <w:t xml:space="preserve">more </w:t>
      </w:r>
      <w:r w:rsidRPr="008F2876">
        <w:rPr>
          <w:color w:val="auto"/>
        </w:rPr>
        <w:t>effectively and efficiently</w:t>
      </w:r>
      <w:r w:rsidR="00BB090E">
        <w:rPr>
          <w:color w:val="auto"/>
        </w:rPr>
        <w:t xml:space="preserve"> than recently experienced</w:t>
      </w:r>
      <w:r w:rsidRPr="008F2876">
        <w:rPr>
          <w:color w:val="auto"/>
        </w:rPr>
        <w:t xml:space="preserve">. </w:t>
      </w:r>
    </w:p>
    <w:p w14:paraId="24587519" w14:textId="77777777" w:rsidR="00703F5D" w:rsidRPr="00E83E58" w:rsidRDefault="00703F5D" w:rsidP="00536537">
      <w:pPr>
        <w:pStyle w:val="ListParagraph"/>
        <w:rPr>
          <w:color w:val="auto"/>
        </w:rPr>
      </w:pPr>
      <w:r w:rsidRPr="00E83E58">
        <w:rPr>
          <w:color w:val="auto"/>
        </w:rPr>
        <w:t>The HRA working balance remains unchanged at £4.0 million.</w:t>
      </w:r>
    </w:p>
    <w:p w14:paraId="709105B0" w14:textId="77777777" w:rsidR="00536537" w:rsidRPr="00E83E58" w:rsidRDefault="00703F5D" w:rsidP="00536537">
      <w:pPr>
        <w:pStyle w:val="ListParagraph"/>
        <w:rPr>
          <w:color w:val="auto"/>
        </w:rPr>
      </w:pPr>
      <w:r w:rsidRPr="00E83E58">
        <w:rPr>
          <w:color w:val="auto"/>
        </w:rPr>
        <w:t xml:space="preserve">The </w:t>
      </w:r>
      <w:proofErr w:type="spellStart"/>
      <w:r w:rsidRPr="00E83E58">
        <w:rPr>
          <w:color w:val="auto"/>
        </w:rPr>
        <w:t>yea</w:t>
      </w:r>
      <w:r w:rsidR="008F2876" w:rsidRPr="00E83E58">
        <w:rPr>
          <w:color w:val="auto"/>
        </w:rPr>
        <w:t>r end</w:t>
      </w:r>
      <w:proofErr w:type="spellEnd"/>
      <w:r w:rsidR="008F2876" w:rsidRPr="00E83E58">
        <w:rPr>
          <w:color w:val="auto"/>
        </w:rPr>
        <w:t xml:space="preserve"> variance is shown as (£</w:t>
      </w:r>
      <w:r w:rsidR="00D357A0">
        <w:rPr>
          <w:color w:val="auto"/>
        </w:rPr>
        <w:t>0.550</w:t>
      </w:r>
      <w:r w:rsidRPr="00E83E58">
        <w:rPr>
          <w:color w:val="auto"/>
        </w:rPr>
        <w:t>) million and the m</w:t>
      </w:r>
      <w:r w:rsidR="00536537" w:rsidRPr="00E83E58">
        <w:rPr>
          <w:color w:val="auto"/>
        </w:rPr>
        <w:t>ajor variations include:</w:t>
      </w:r>
    </w:p>
    <w:p w14:paraId="06942754" w14:textId="77777777" w:rsidR="00DE3268" w:rsidRPr="00E83E58" w:rsidRDefault="00764912" w:rsidP="00DE3268">
      <w:pPr>
        <w:pStyle w:val="ListParagraph"/>
        <w:numPr>
          <w:ilvl w:val="1"/>
          <w:numId w:val="30"/>
        </w:numPr>
        <w:rPr>
          <w:color w:val="auto"/>
        </w:rPr>
      </w:pPr>
      <w:r w:rsidRPr="00E83E58">
        <w:rPr>
          <w:b/>
          <w:color w:val="auto"/>
        </w:rPr>
        <w:t>Management and Services (Stock Related)</w:t>
      </w:r>
      <w:r w:rsidRPr="00E83E58">
        <w:rPr>
          <w:color w:val="auto"/>
        </w:rPr>
        <w:t xml:space="preserve"> </w:t>
      </w:r>
      <w:r w:rsidR="00041770" w:rsidRPr="00E83E58">
        <w:rPr>
          <w:color w:val="auto"/>
        </w:rPr>
        <w:t xml:space="preserve">has a favourable variance of </w:t>
      </w:r>
      <w:r w:rsidRPr="00E83E58">
        <w:rPr>
          <w:color w:val="auto"/>
        </w:rPr>
        <w:t>(£0.</w:t>
      </w:r>
      <w:r w:rsidR="00DE3268" w:rsidRPr="00E83E58">
        <w:rPr>
          <w:color w:val="auto"/>
        </w:rPr>
        <w:t>875</w:t>
      </w:r>
      <w:r w:rsidRPr="00E83E58">
        <w:rPr>
          <w:color w:val="auto"/>
        </w:rPr>
        <w:t xml:space="preserve">) million </w:t>
      </w:r>
      <w:r w:rsidR="00DE3268" w:rsidRPr="00E83E58">
        <w:rPr>
          <w:color w:val="auto"/>
        </w:rPr>
        <w:t>this is as a result of lower than anticipated</w:t>
      </w:r>
      <w:r w:rsidR="00BB090E">
        <w:rPr>
          <w:color w:val="auto"/>
        </w:rPr>
        <w:t xml:space="preserve"> public</w:t>
      </w:r>
      <w:r w:rsidR="00DE3268" w:rsidRPr="00E83E58">
        <w:rPr>
          <w:color w:val="auto"/>
        </w:rPr>
        <w:t xml:space="preserve"> utilities costs across the stock </w:t>
      </w:r>
      <w:r w:rsidR="00D357A0">
        <w:rPr>
          <w:color w:val="auto"/>
        </w:rPr>
        <w:t xml:space="preserve">and reduced </w:t>
      </w:r>
      <w:r w:rsidR="00DE3268" w:rsidRPr="00E83E58">
        <w:rPr>
          <w:color w:val="auto"/>
        </w:rPr>
        <w:t>Council Tax on empty properties</w:t>
      </w:r>
      <w:r w:rsidR="00D357A0">
        <w:rPr>
          <w:color w:val="auto"/>
        </w:rPr>
        <w:t xml:space="preserve"> arising from a reduction in void turnaround times.</w:t>
      </w:r>
      <w:r w:rsidR="00DE3268" w:rsidRPr="00E83E58">
        <w:rPr>
          <w:color w:val="auto"/>
        </w:rPr>
        <w:t xml:space="preserve">  </w:t>
      </w:r>
      <w:r w:rsidR="00041770" w:rsidRPr="00E83E58">
        <w:rPr>
          <w:color w:val="auto"/>
        </w:rPr>
        <w:t xml:space="preserve">  </w:t>
      </w:r>
      <w:r w:rsidRPr="00E83E58">
        <w:rPr>
          <w:color w:val="auto"/>
        </w:rPr>
        <w:t xml:space="preserve">  </w:t>
      </w:r>
    </w:p>
    <w:p w14:paraId="7CB574B0" w14:textId="77777777" w:rsidR="00764912" w:rsidRPr="00E83E58" w:rsidRDefault="00764912" w:rsidP="00764912">
      <w:pPr>
        <w:pStyle w:val="ListParagraph"/>
        <w:numPr>
          <w:ilvl w:val="1"/>
          <w:numId w:val="30"/>
        </w:numPr>
        <w:rPr>
          <w:color w:val="auto"/>
        </w:rPr>
      </w:pPr>
      <w:proofErr w:type="spellStart"/>
      <w:r w:rsidRPr="00E83E58">
        <w:rPr>
          <w:b/>
          <w:color w:val="auto"/>
        </w:rPr>
        <w:t>Misc</w:t>
      </w:r>
      <w:proofErr w:type="spellEnd"/>
      <w:r w:rsidRPr="00E83E58">
        <w:rPr>
          <w:b/>
          <w:color w:val="auto"/>
        </w:rPr>
        <w:t xml:space="preserve"> Expenditure (Non Stock Related)</w:t>
      </w:r>
      <w:r w:rsidRPr="00E83E58">
        <w:rPr>
          <w:color w:val="auto"/>
        </w:rPr>
        <w:t xml:space="preserve"> </w:t>
      </w:r>
      <w:r w:rsidR="00703F5D" w:rsidRPr="00E83E58">
        <w:rPr>
          <w:color w:val="auto"/>
        </w:rPr>
        <w:t>has a favourable variance of</w:t>
      </w:r>
      <w:r w:rsidRPr="00E83E58">
        <w:rPr>
          <w:color w:val="auto"/>
        </w:rPr>
        <w:t xml:space="preserve"> </w:t>
      </w:r>
      <w:r w:rsidR="00703F5D" w:rsidRPr="00E83E58">
        <w:rPr>
          <w:color w:val="auto"/>
        </w:rPr>
        <w:t>(</w:t>
      </w:r>
      <w:r w:rsidRPr="00E83E58">
        <w:rPr>
          <w:color w:val="auto"/>
        </w:rPr>
        <w:t>£0.</w:t>
      </w:r>
      <w:r w:rsidR="00DE3268" w:rsidRPr="00E83E58">
        <w:rPr>
          <w:color w:val="auto"/>
        </w:rPr>
        <w:t>201</w:t>
      </w:r>
      <w:r w:rsidR="00703F5D" w:rsidRPr="00E83E58">
        <w:rPr>
          <w:color w:val="auto"/>
        </w:rPr>
        <w:t>)</w:t>
      </w:r>
      <w:r w:rsidRPr="00E83E58">
        <w:rPr>
          <w:color w:val="auto"/>
        </w:rPr>
        <w:t xml:space="preserve"> million, </w:t>
      </w:r>
      <w:r w:rsidR="00DE3268" w:rsidRPr="00E83E58">
        <w:rPr>
          <w:color w:val="auto"/>
        </w:rPr>
        <w:t>associated with lower than expected spend</w:t>
      </w:r>
      <w:r w:rsidR="00041770" w:rsidRPr="00E83E58">
        <w:rPr>
          <w:color w:val="auto"/>
        </w:rPr>
        <w:t xml:space="preserve"> on </w:t>
      </w:r>
      <w:r w:rsidR="00BB090E">
        <w:rPr>
          <w:color w:val="auto"/>
        </w:rPr>
        <w:t>those HRA dwellings used for</w:t>
      </w:r>
      <w:r w:rsidR="00041770" w:rsidRPr="00E83E58">
        <w:rPr>
          <w:color w:val="auto"/>
        </w:rPr>
        <w:t xml:space="preserve"> Temporary Accommodation</w:t>
      </w:r>
      <w:r w:rsidR="00DE3268" w:rsidRPr="00E83E58">
        <w:rPr>
          <w:color w:val="auto"/>
        </w:rPr>
        <w:t xml:space="preserve">, and the </w:t>
      </w:r>
      <w:r w:rsidR="00BB090E">
        <w:rPr>
          <w:color w:val="auto"/>
        </w:rPr>
        <w:t xml:space="preserve">savings arising from the ability to </w:t>
      </w:r>
      <w:r w:rsidR="00BB090E" w:rsidRPr="00E83E58">
        <w:rPr>
          <w:color w:val="auto"/>
        </w:rPr>
        <w:t xml:space="preserve">recharge the </w:t>
      </w:r>
      <w:r w:rsidR="00DE3268" w:rsidRPr="00E83E58">
        <w:rPr>
          <w:color w:val="auto"/>
        </w:rPr>
        <w:t xml:space="preserve">Project Manager to the </w:t>
      </w:r>
      <w:r w:rsidR="00BB090E">
        <w:rPr>
          <w:color w:val="auto"/>
        </w:rPr>
        <w:t xml:space="preserve">HRA </w:t>
      </w:r>
      <w:r w:rsidR="00DE3268" w:rsidRPr="00E83E58">
        <w:rPr>
          <w:color w:val="auto"/>
        </w:rPr>
        <w:t>capital programme.</w:t>
      </w:r>
    </w:p>
    <w:p w14:paraId="584A8676" w14:textId="77777777" w:rsidR="00041770" w:rsidRPr="00E83E58" w:rsidRDefault="00DE3268" w:rsidP="00764912">
      <w:pPr>
        <w:pStyle w:val="ListParagraph"/>
        <w:numPr>
          <w:ilvl w:val="1"/>
          <w:numId w:val="30"/>
        </w:numPr>
        <w:rPr>
          <w:color w:val="auto"/>
        </w:rPr>
      </w:pPr>
      <w:r w:rsidRPr="00E83E58">
        <w:rPr>
          <w:b/>
          <w:color w:val="auto"/>
        </w:rPr>
        <w:t xml:space="preserve">Interest paid </w:t>
      </w:r>
      <w:r w:rsidR="00041770" w:rsidRPr="00E83E58">
        <w:rPr>
          <w:color w:val="auto"/>
        </w:rPr>
        <w:t>has</w:t>
      </w:r>
      <w:r w:rsidR="002E66A3" w:rsidRPr="00E83E58">
        <w:rPr>
          <w:color w:val="auto"/>
        </w:rPr>
        <w:t xml:space="preserve"> a</w:t>
      </w:r>
      <w:r w:rsidRPr="00E83E58">
        <w:rPr>
          <w:color w:val="auto"/>
        </w:rPr>
        <w:t xml:space="preserve"> favourable</w:t>
      </w:r>
      <w:r w:rsidR="00764912" w:rsidRPr="00E83E58">
        <w:rPr>
          <w:color w:val="auto"/>
        </w:rPr>
        <w:t xml:space="preserve"> variance of £0.</w:t>
      </w:r>
      <w:r w:rsidRPr="00E83E58">
        <w:rPr>
          <w:color w:val="auto"/>
        </w:rPr>
        <w:t>219</w:t>
      </w:r>
      <w:r w:rsidR="00764912" w:rsidRPr="00E83E58">
        <w:rPr>
          <w:color w:val="auto"/>
        </w:rPr>
        <w:t xml:space="preserve"> million </w:t>
      </w:r>
      <w:r w:rsidRPr="00E83E58">
        <w:rPr>
          <w:color w:val="auto"/>
        </w:rPr>
        <w:t xml:space="preserve">due to </w:t>
      </w:r>
      <w:r w:rsidR="00D357A0">
        <w:rPr>
          <w:color w:val="auto"/>
        </w:rPr>
        <w:t>reduced interest on loans</w:t>
      </w:r>
      <w:r w:rsidRPr="00E83E58">
        <w:rPr>
          <w:color w:val="auto"/>
        </w:rPr>
        <w:t>.</w:t>
      </w:r>
    </w:p>
    <w:p w14:paraId="3E1546E4" w14:textId="77777777" w:rsidR="00E83E58" w:rsidRPr="00E83E58" w:rsidRDefault="00E83E58" w:rsidP="00E83E58">
      <w:pPr>
        <w:pStyle w:val="ListParagraph"/>
        <w:numPr>
          <w:ilvl w:val="1"/>
          <w:numId w:val="30"/>
        </w:numPr>
        <w:rPr>
          <w:color w:val="auto"/>
        </w:rPr>
      </w:pPr>
      <w:r w:rsidRPr="00E83E58">
        <w:rPr>
          <w:b/>
          <w:color w:val="auto"/>
        </w:rPr>
        <w:t xml:space="preserve">Depreciation </w:t>
      </w:r>
      <w:r w:rsidRPr="00E83E58">
        <w:rPr>
          <w:color w:val="auto"/>
        </w:rPr>
        <w:t>has an overall adverse variance of £0.801 million, this is due to the calculation of depreciation in year being higher than that budgeted for.</w:t>
      </w:r>
    </w:p>
    <w:p w14:paraId="514D737E" w14:textId="77777777" w:rsidR="00764912" w:rsidRPr="00E83E58" w:rsidRDefault="00ED1345" w:rsidP="00ED1345">
      <w:pPr>
        <w:pStyle w:val="ListParagraph"/>
        <w:numPr>
          <w:ilvl w:val="1"/>
          <w:numId w:val="30"/>
        </w:numPr>
        <w:rPr>
          <w:color w:val="auto"/>
        </w:rPr>
      </w:pPr>
      <w:r w:rsidRPr="00E83E58">
        <w:rPr>
          <w:b/>
          <w:color w:val="auto"/>
        </w:rPr>
        <w:t xml:space="preserve">Appropriations </w:t>
      </w:r>
      <w:r w:rsidRPr="00E83E58">
        <w:rPr>
          <w:color w:val="auto"/>
        </w:rPr>
        <w:t xml:space="preserve">has an overall </w:t>
      </w:r>
      <w:r w:rsidR="00E83E58" w:rsidRPr="00E83E58">
        <w:rPr>
          <w:color w:val="auto"/>
        </w:rPr>
        <w:t>minimal favourable</w:t>
      </w:r>
      <w:r w:rsidRPr="00E83E58">
        <w:rPr>
          <w:color w:val="auto"/>
        </w:rPr>
        <w:t xml:space="preserve"> variance of £0.</w:t>
      </w:r>
      <w:r w:rsidR="00E83E58" w:rsidRPr="00E83E58">
        <w:rPr>
          <w:color w:val="auto"/>
        </w:rPr>
        <w:t>025</w:t>
      </w:r>
      <w:r w:rsidRPr="00E83E58">
        <w:rPr>
          <w:color w:val="auto"/>
        </w:rPr>
        <w:t xml:space="preserve"> million, these accounts represent the entries relating to movements to and from reserves, capital financing, </w:t>
      </w:r>
      <w:r w:rsidR="00D357A0">
        <w:rPr>
          <w:color w:val="auto"/>
        </w:rPr>
        <w:t>impairments and gains and losses on asset disposals.</w:t>
      </w:r>
    </w:p>
    <w:p w14:paraId="23547A5F" w14:textId="77777777" w:rsidR="00251369" w:rsidRDefault="00D357A0" w:rsidP="00764912">
      <w:pPr>
        <w:pStyle w:val="ListParagraph"/>
        <w:numPr>
          <w:ilvl w:val="0"/>
          <w:numId w:val="0"/>
        </w:numPr>
        <w:ind w:left="426"/>
        <w:rPr>
          <w:b/>
          <w:color w:val="FF0000"/>
        </w:rPr>
      </w:pPr>
      <w:r>
        <w:rPr>
          <w:b/>
          <w:color w:val="FF0000"/>
        </w:rPr>
        <w:t xml:space="preserve"> </w:t>
      </w:r>
    </w:p>
    <w:p w14:paraId="7AE760EE" w14:textId="77777777" w:rsidR="00764912" w:rsidRPr="00251369" w:rsidRDefault="00764912" w:rsidP="00764912">
      <w:pPr>
        <w:pStyle w:val="ListParagraph"/>
        <w:numPr>
          <w:ilvl w:val="0"/>
          <w:numId w:val="0"/>
        </w:numPr>
        <w:ind w:left="426"/>
        <w:rPr>
          <w:b/>
          <w:color w:val="auto"/>
        </w:rPr>
      </w:pPr>
      <w:r w:rsidRPr="00251369">
        <w:rPr>
          <w:b/>
          <w:color w:val="auto"/>
        </w:rPr>
        <w:t>Capital</w:t>
      </w:r>
    </w:p>
    <w:p w14:paraId="197E832C" w14:textId="7A744C3E" w:rsidR="00C12317" w:rsidRPr="00251369" w:rsidRDefault="00764912" w:rsidP="00764912">
      <w:pPr>
        <w:pStyle w:val="ListParagraph"/>
        <w:rPr>
          <w:color w:val="auto"/>
        </w:rPr>
      </w:pPr>
      <w:r w:rsidRPr="00251369">
        <w:rPr>
          <w:color w:val="auto"/>
        </w:rPr>
        <w:t>The outturn on the Capital Programme is £</w:t>
      </w:r>
      <w:r w:rsidR="00F50468">
        <w:rPr>
          <w:color w:val="auto"/>
        </w:rPr>
        <w:t>37</w:t>
      </w:r>
      <w:r w:rsidR="00556458">
        <w:rPr>
          <w:color w:val="auto"/>
        </w:rPr>
        <w:t>.710</w:t>
      </w:r>
      <w:r w:rsidR="00624C75" w:rsidRPr="00251369">
        <w:rPr>
          <w:color w:val="auto"/>
        </w:rPr>
        <w:t xml:space="preserve"> </w:t>
      </w:r>
      <w:r w:rsidRPr="00251369">
        <w:rPr>
          <w:color w:val="auto"/>
        </w:rPr>
        <w:t xml:space="preserve">million </w:t>
      </w:r>
      <w:r w:rsidR="00AD6658" w:rsidRPr="00251369">
        <w:rPr>
          <w:color w:val="auto"/>
        </w:rPr>
        <w:t xml:space="preserve">with </w:t>
      </w:r>
      <w:r w:rsidRPr="00251369">
        <w:rPr>
          <w:color w:val="auto"/>
        </w:rPr>
        <w:t>a favourable variance of (£</w:t>
      </w:r>
      <w:r w:rsidR="00556458">
        <w:rPr>
          <w:color w:val="auto"/>
        </w:rPr>
        <w:t>11.228</w:t>
      </w:r>
      <w:r w:rsidR="000202F2" w:rsidRPr="00251369">
        <w:rPr>
          <w:color w:val="auto"/>
        </w:rPr>
        <w:t>)</w:t>
      </w:r>
      <w:r w:rsidRPr="00251369">
        <w:rPr>
          <w:color w:val="auto"/>
        </w:rPr>
        <w:t xml:space="preserve"> mil</w:t>
      </w:r>
      <w:r w:rsidR="004E288C" w:rsidRPr="00251369">
        <w:rPr>
          <w:color w:val="auto"/>
        </w:rPr>
        <w:t xml:space="preserve">lion against the latest </w:t>
      </w:r>
      <w:r w:rsidR="00D563F6" w:rsidRPr="00251369">
        <w:rPr>
          <w:color w:val="auto"/>
        </w:rPr>
        <w:t>outturn estimate forecast in February</w:t>
      </w:r>
      <w:r w:rsidR="00251369" w:rsidRPr="00251369">
        <w:rPr>
          <w:color w:val="auto"/>
        </w:rPr>
        <w:t xml:space="preserve"> as shown i</w:t>
      </w:r>
      <w:r w:rsidR="007B4395" w:rsidRPr="00251369">
        <w:rPr>
          <w:color w:val="auto"/>
        </w:rPr>
        <w:t>n Appendix B</w:t>
      </w:r>
      <w:r w:rsidR="004E288C" w:rsidRPr="00251369">
        <w:rPr>
          <w:color w:val="auto"/>
        </w:rPr>
        <w:t>.</w:t>
      </w:r>
      <w:r w:rsidR="00AD6658" w:rsidRPr="00251369">
        <w:rPr>
          <w:color w:val="auto"/>
        </w:rPr>
        <w:t xml:space="preserve">  </w:t>
      </w:r>
      <w:r w:rsidR="00251369" w:rsidRPr="00251369">
        <w:rPr>
          <w:color w:val="auto"/>
        </w:rPr>
        <w:t>This represents a 69</w:t>
      </w:r>
      <w:r w:rsidR="00BF4935" w:rsidRPr="00251369">
        <w:rPr>
          <w:color w:val="auto"/>
        </w:rPr>
        <w:t xml:space="preserve">% spend of the original budget compared to </w:t>
      </w:r>
      <w:r w:rsidR="00251369" w:rsidRPr="00251369">
        <w:rPr>
          <w:color w:val="auto"/>
        </w:rPr>
        <w:t>78% last year and 69</w:t>
      </w:r>
      <w:r w:rsidR="00BF4935" w:rsidRPr="00251369">
        <w:rPr>
          <w:color w:val="auto"/>
        </w:rPr>
        <w:t>% the previous year</w:t>
      </w:r>
      <w:r w:rsidR="00251369" w:rsidRPr="00251369">
        <w:rPr>
          <w:color w:val="auto"/>
        </w:rPr>
        <w:t>.</w:t>
      </w:r>
    </w:p>
    <w:p w14:paraId="257AFA70" w14:textId="3F238C55" w:rsidR="00C12317" w:rsidRPr="00251369" w:rsidRDefault="00C12317" w:rsidP="00764912">
      <w:pPr>
        <w:pStyle w:val="ListParagraph"/>
        <w:rPr>
          <w:color w:val="auto"/>
        </w:rPr>
      </w:pPr>
      <w:r w:rsidRPr="00251369">
        <w:rPr>
          <w:color w:val="auto"/>
        </w:rPr>
        <w:t>The variance of (£</w:t>
      </w:r>
      <w:r w:rsidR="00556458">
        <w:rPr>
          <w:color w:val="auto"/>
        </w:rPr>
        <w:t>11.228</w:t>
      </w:r>
      <w:r w:rsidRPr="00251369">
        <w:rPr>
          <w:color w:val="auto"/>
        </w:rPr>
        <w:t>) million is made up of (</w:t>
      </w:r>
      <w:r w:rsidR="00627684" w:rsidRPr="00251369">
        <w:rPr>
          <w:color w:val="auto"/>
        </w:rPr>
        <w:t>£</w:t>
      </w:r>
      <w:r w:rsidR="00556458">
        <w:rPr>
          <w:color w:val="auto"/>
        </w:rPr>
        <w:t>10.592</w:t>
      </w:r>
      <w:r w:rsidR="00251369" w:rsidRPr="00251369">
        <w:rPr>
          <w:color w:val="auto"/>
        </w:rPr>
        <w:t xml:space="preserve">) million of slippage into </w:t>
      </w:r>
      <w:r w:rsidRPr="00251369">
        <w:rPr>
          <w:color w:val="auto"/>
        </w:rPr>
        <w:t>18</w:t>
      </w:r>
      <w:r w:rsidR="00251369" w:rsidRPr="00251369">
        <w:rPr>
          <w:color w:val="auto"/>
        </w:rPr>
        <w:t>/19</w:t>
      </w:r>
      <w:r w:rsidRPr="00251369">
        <w:rPr>
          <w:color w:val="auto"/>
        </w:rPr>
        <w:t xml:space="preserve"> and (£0.</w:t>
      </w:r>
      <w:r w:rsidR="00F50468">
        <w:rPr>
          <w:color w:val="auto"/>
        </w:rPr>
        <w:t>636</w:t>
      </w:r>
      <w:r w:rsidRPr="00251369">
        <w:rPr>
          <w:color w:val="auto"/>
        </w:rPr>
        <w:t xml:space="preserve">) million of </w:t>
      </w:r>
      <w:r w:rsidR="00D357A0">
        <w:rPr>
          <w:color w:val="auto"/>
        </w:rPr>
        <w:t xml:space="preserve">net </w:t>
      </w:r>
      <w:r w:rsidRPr="00251369">
        <w:rPr>
          <w:color w:val="auto"/>
        </w:rPr>
        <w:t xml:space="preserve">underspends.  </w:t>
      </w:r>
      <w:r w:rsidR="004D0FD0" w:rsidRPr="00251369">
        <w:rPr>
          <w:color w:val="auto"/>
        </w:rPr>
        <w:t xml:space="preserve">Should members agree the recommendations then funding in respect of </w:t>
      </w:r>
      <w:proofErr w:type="gramStart"/>
      <w:r w:rsidR="004D0FD0" w:rsidRPr="00251369">
        <w:rPr>
          <w:color w:val="auto"/>
        </w:rPr>
        <w:t xml:space="preserve">the </w:t>
      </w:r>
      <w:r w:rsidRPr="00251369">
        <w:rPr>
          <w:color w:val="auto"/>
        </w:rPr>
        <w:t>underspend</w:t>
      </w:r>
      <w:proofErr w:type="gramEnd"/>
      <w:r w:rsidRPr="00251369">
        <w:rPr>
          <w:color w:val="auto"/>
        </w:rPr>
        <w:t xml:space="preserve"> will </w:t>
      </w:r>
      <w:r w:rsidR="004D0FD0" w:rsidRPr="00251369">
        <w:rPr>
          <w:color w:val="auto"/>
        </w:rPr>
        <w:t xml:space="preserve">be </w:t>
      </w:r>
      <w:r w:rsidRPr="00251369">
        <w:rPr>
          <w:color w:val="auto"/>
        </w:rPr>
        <w:t>return</w:t>
      </w:r>
      <w:r w:rsidR="004D0FD0" w:rsidRPr="00251369">
        <w:rPr>
          <w:color w:val="auto"/>
        </w:rPr>
        <w:t>ed</w:t>
      </w:r>
      <w:r w:rsidRPr="00251369">
        <w:rPr>
          <w:color w:val="auto"/>
        </w:rPr>
        <w:t xml:space="preserve"> back to </w:t>
      </w:r>
      <w:r w:rsidR="00703A6A" w:rsidRPr="00251369">
        <w:rPr>
          <w:color w:val="auto"/>
        </w:rPr>
        <w:t xml:space="preserve">the </w:t>
      </w:r>
      <w:r w:rsidR="00B732B4" w:rsidRPr="00251369">
        <w:rPr>
          <w:color w:val="auto"/>
        </w:rPr>
        <w:t>Capital</w:t>
      </w:r>
      <w:r w:rsidRPr="00251369">
        <w:rPr>
          <w:color w:val="auto"/>
        </w:rPr>
        <w:t xml:space="preserve"> </w:t>
      </w:r>
      <w:r w:rsidR="00703A6A" w:rsidRPr="00251369">
        <w:rPr>
          <w:color w:val="auto"/>
        </w:rPr>
        <w:t>Financing Reserve</w:t>
      </w:r>
      <w:r w:rsidR="00B732B4" w:rsidRPr="00251369">
        <w:rPr>
          <w:color w:val="auto"/>
        </w:rPr>
        <w:t>.</w:t>
      </w:r>
    </w:p>
    <w:p w14:paraId="79E67127" w14:textId="77777777" w:rsidR="00A66877" w:rsidRPr="00A66877" w:rsidRDefault="00A66877" w:rsidP="00A66877">
      <w:pPr>
        <w:pStyle w:val="ListParagraph"/>
        <w:numPr>
          <w:ilvl w:val="0"/>
          <w:numId w:val="0"/>
        </w:numPr>
        <w:ind w:left="426"/>
        <w:rPr>
          <w:b/>
          <w:color w:val="auto"/>
        </w:rPr>
      </w:pPr>
      <w:r>
        <w:rPr>
          <w:color w:val="auto"/>
        </w:rPr>
        <w:lastRenderedPageBreak/>
        <w:tab/>
      </w:r>
      <w:r w:rsidRPr="00A66877">
        <w:rPr>
          <w:b/>
          <w:color w:val="auto"/>
        </w:rPr>
        <w:t>GENERAL FUND</w:t>
      </w:r>
    </w:p>
    <w:p w14:paraId="188FD68A" w14:textId="77777777" w:rsidR="00AD6658" w:rsidRDefault="00AD6658" w:rsidP="00AD6658">
      <w:pPr>
        <w:pStyle w:val="ListParagraph"/>
        <w:numPr>
          <w:ilvl w:val="0"/>
          <w:numId w:val="36"/>
        </w:numPr>
        <w:rPr>
          <w:color w:val="auto"/>
        </w:rPr>
      </w:pPr>
      <w:proofErr w:type="spellStart"/>
      <w:r w:rsidRPr="00FA578E">
        <w:rPr>
          <w:b/>
          <w:color w:val="auto"/>
        </w:rPr>
        <w:t>Oxpens</w:t>
      </w:r>
      <w:proofErr w:type="spellEnd"/>
      <w:r w:rsidRPr="00FA578E">
        <w:rPr>
          <w:b/>
          <w:color w:val="auto"/>
        </w:rPr>
        <w:t xml:space="preserve"> regeneration</w:t>
      </w:r>
      <w:r w:rsidR="00251369" w:rsidRPr="00FA578E">
        <w:rPr>
          <w:color w:val="auto"/>
        </w:rPr>
        <w:t xml:space="preserve"> </w:t>
      </w:r>
      <w:r w:rsidR="00A66877" w:rsidRPr="00FA578E">
        <w:rPr>
          <w:color w:val="auto"/>
        </w:rPr>
        <w:t>–</w:t>
      </w:r>
      <w:r w:rsidR="00251369" w:rsidRPr="00FA578E">
        <w:rPr>
          <w:color w:val="auto"/>
        </w:rPr>
        <w:t xml:space="preserve"> </w:t>
      </w:r>
      <w:r w:rsidR="00A66877" w:rsidRPr="00FA578E">
        <w:rPr>
          <w:color w:val="auto"/>
        </w:rPr>
        <w:t>(</w:t>
      </w:r>
      <w:r w:rsidR="00251369" w:rsidRPr="00FA578E">
        <w:rPr>
          <w:color w:val="auto"/>
        </w:rPr>
        <w:t>£4.160</w:t>
      </w:r>
      <w:r w:rsidR="00A66877" w:rsidRPr="00FA578E">
        <w:rPr>
          <w:color w:val="auto"/>
        </w:rPr>
        <w:t>)</w:t>
      </w:r>
      <w:r w:rsidRPr="00FA578E">
        <w:rPr>
          <w:color w:val="auto"/>
        </w:rPr>
        <w:t xml:space="preserve"> million </w:t>
      </w:r>
      <w:r w:rsidR="00251369" w:rsidRPr="00FA578E">
        <w:rPr>
          <w:color w:val="auto"/>
        </w:rPr>
        <w:t xml:space="preserve">loan due to OXWED </w:t>
      </w:r>
      <w:r w:rsidR="00DE5C00" w:rsidRPr="00FA578E">
        <w:rPr>
          <w:color w:val="auto"/>
        </w:rPr>
        <w:t>in respect of Council owned land to be transferred to the company which has not yet taken place</w:t>
      </w:r>
      <w:r w:rsidR="00D563F6" w:rsidRPr="00FA578E">
        <w:rPr>
          <w:color w:val="auto"/>
        </w:rPr>
        <w:t>;</w:t>
      </w:r>
    </w:p>
    <w:p w14:paraId="612618DD" w14:textId="77777777" w:rsidR="00FA578E" w:rsidRDefault="00FA578E" w:rsidP="00AD6658">
      <w:pPr>
        <w:pStyle w:val="ListParagraph"/>
        <w:numPr>
          <w:ilvl w:val="0"/>
          <w:numId w:val="36"/>
        </w:numPr>
        <w:rPr>
          <w:color w:val="auto"/>
        </w:rPr>
      </w:pPr>
      <w:r>
        <w:rPr>
          <w:b/>
          <w:color w:val="auto"/>
        </w:rPr>
        <w:t xml:space="preserve">ICT project </w:t>
      </w:r>
      <w:r>
        <w:rPr>
          <w:color w:val="auto"/>
        </w:rPr>
        <w:t xml:space="preserve">– (£0.377) million </w:t>
      </w:r>
      <w:r w:rsidR="00953287">
        <w:rPr>
          <w:color w:val="auto"/>
        </w:rPr>
        <w:t xml:space="preserve">due to delays in procurement and slippage on implementation of </w:t>
      </w:r>
      <w:proofErr w:type="spellStart"/>
      <w:r w:rsidR="00953287">
        <w:rPr>
          <w:color w:val="auto"/>
        </w:rPr>
        <w:t>Bartec</w:t>
      </w:r>
      <w:proofErr w:type="spellEnd"/>
      <w:r w:rsidR="00953287">
        <w:rPr>
          <w:color w:val="auto"/>
        </w:rPr>
        <w:t>;</w:t>
      </w:r>
    </w:p>
    <w:p w14:paraId="0D94C0FD" w14:textId="77777777" w:rsidR="00D413B8" w:rsidRPr="00FA578E" w:rsidRDefault="00953287" w:rsidP="00AD6658">
      <w:pPr>
        <w:pStyle w:val="ListParagraph"/>
        <w:numPr>
          <w:ilvl w:val="0"/>
          <w:numId w:val="36"/>
        </w:numPr>
        <w:rPr>
          <w:color w:val="auto"/>
        </w:rPr>
      </w:pPr>
      <w:r>
        <w:rPr>
          <w:b/>
          <w:color w:val="auto"/>
        </w:rPr>
        <w:t>Cave Street and</w:t>
      </w:r>
      <w:r w:rsidR="00D413B8" w:rsidRPr="00D413B8">
        <w:rPr>
          <w:b/>
          <w:color w:val="auto"/>
        </w:rPr>
        <w:t xml:space="preserve"> 1-5 George Street</w:t>
      </w:r>
      <w:r>
        <w:rPr>
          <w:b/>
          <w:color w:val="auto"/>
        </w:rPr>
        <w:t xml:space="preserve"> Developments</w:t>
      </w:r>
      <w:r w:rsidR="00D413B8">
        <w:rPr>
          <w:color w:val="auto"/>
        </w:rPr>
        <w:t xml:space="preserve"> – (£0.251) million</w:t>
      </w:r>
      <w:r>
        <w:rPr>
          <w:color w:val="auto"/>
        </w:rPr>
        <w:t>, feasibility work is being undertaken along with planning application for George Street;</w:t>
      </w:r>
    </w:p>
    <w:p w14:paraId="1EBC5033" w14:textId="77777777" w:rsidR="00251369" w:rsidRPr="00D413B8" w:rsidRDefault="00251369" w:rsidP="00AD6658">
      <w:pPr>
        <w:pStyle w:val="ListParagraph"/>
        <w:numPr>
          <w:ilvl w:val="0"/>
          <w:numId w:val="36"/>
        </w:numPr>
        <w:rPr>
          <w:color w:val="auto"/>
        </w:rPr>
      </w:pPr>
      <w:r w:rsidRPr="00D413B8">
        <w:rPr>
          <w:b/>
          <w:color w:val="auto"/>
        </w:rPr>
        <w:t xml:space="preserve">Lucy Faithful House </w:t>
      </w:r>
      <w:r w:rsidR="00A66877" w:rsidRPr="00D413B8">
        <w:rPr>
          <w:color w:val="auto"/>
        </w:rPr>
        <w:t>–</w:t>
      </w:r>
      <w:r w:rsidRPr="00D413B8">
        <w:rPr>
          <w:color w:val="auto"/>
        </w:rPr>
        <w:t xml:space="preserve"> </w:t>
      </w:r>
      <w:r w:rsidR="00A66877" w:rsidRPr="00D413B8">
        <w:rPr>
          <w:color w:val="auto"/>
        </w:rPr>
        <w:t>(</w:t>
      </w:r>
      <w:r w:rsidR="006B3EBB" w:rsidRPr="00D413B8">
        <w:rPr>
          <w:color w:val="auto"/>
        </w:rPr>
        <w:t>£0.456</w:t>
      </w:r>
      <w:r w:rsidR="00A66877" w:rsidRPr="00D413B8">
        <w:rPr>
          <w:color w:val="auto"/>
        </w:rPr>
        <w:t>)</w:t>
      </w:r>
      <w:r w:rsidR="00971754" w:rsidRPr="00D413B8">
        <w:rPr>
          <w:color w:val="auto"/>
        </w:rPr>
        <w:t xml:space="preserve"> million</w:t>
      </w:r>
      <w:r w:rsidR="006B3EBB" w:rsidRPr="00D413B8">
        <w:rPr>
          <w:color w:val="auto"/>
        </w:rPr>
        <w:t xml:space="preserve"> slippage, £0.544 million has been spent</w:t>
      </w:r>
      <w:r w:rsidR="00971754" w:rsidRPr="00D413B8">
        <w:rPr>
          <w:color w:val="auto"/>
        </w:rPr>
        <w:t xml:space="preserve"> in year </w:t>
      </w:r>
      <w:r w:rsidR="003F333F">
        <w:rPr>
          <w:color w:val="auto"/>
        </w:rPr>
        <w:t>for the purchase of the lease back from Riverside</w:t>
      </w:r>
      <w:r w:rsidR="0005299B">
        <w:rPr>
          <w:color w:val="auto"/>
        </w:rPr>
        <w:t xml:space="preserve"> and securing of the vacant building </w:t>
      </w:r>
      <w:r w:rsidR="003F333F">
        <w:rPr>
          <w:color w:val="auto"/>
        </w:rPr>
        <w:t xml:space="preserve">, and </w:t>
      </w:r>
      <w:r w:rsidR="00971754" w:rsidRPr="00D413B8">
        <w:rPr>
          <w:color w:val="auto"/>
        </w:rPr>
        <w:t xml:space="preserve"> the  remaining budget of £0.456 million to be used </w:t>
      </w:r>
      <w:r w:rsidR="003F333F">
        <w:rPr>
          <w:color w:val="auto"/>
        </w:rPr>
        <w:t xml:space="preserve">to </w:t>
      </w:r>
      <w:r w:rsidR="0005299B">
        <w:rPr>
          <w:color w:val="auto"/>
        </w:rPr>
        <w:t>demolish the building in preparation for redevelopment is be</w:t>
      </w:r>
      <w:r w:rsidR="003F333F">
        <w:rPr>
          <w:color w:val="auto"/>
        </w:rPr>
        <w:t>ing</w:t>
      </w:r>
      <w:r w:rsidR="00971754" w:rsidRPr="00D413B8">
        <w:rPr>
          <w:color w:val="auto"/>
        </w:rPr>
        <w:t xml:space="preserve"> slipped into 2018/19;</w:t>
      </w:r>
    </w:p>
    <w:p w14:paraId="395D8766" w14:textId="7962FDFC" w:rsidR="00971754" w:rsidRPr="00D413B8" w:rsidRDefault="00971754" w:rsidP="00AD6658">
      <w:pPr>
        <w:pStyle w:val="ListParagraph"/>
        <w:numPr>
          <w:ilvl w:val="0"/>
          <w:numId w:val="36"/>
        </w:numPr>
        <w:rPr>
          <w:color w:val="auto"/>
        </w:rPr>
      </w:pPr>
      <w:r w:rsidRPr="00D413B8">
        <w:rPr>
          <w:b/>
          <w:color w:val="auto"/>
        </w:rPr>
        <w:t xml:space="preserve">Horspath Sports Park </w:t>
      </w:r>
      <w:r w:rsidR="00A66877" w:rsidRPr="00D413B8">
        <w:rPr>
          <w:color w:val="auto"/>
        </w:rPr>
        <w:t>–</w:t>
      </w:r>
      <w:r w:rsidRPr="00D413B8">
        <w:rPr>
          <w:color w:val="auto"/>
        </w:rPr>
        <w:t xml:space="preserve"> </w:t>
      </w:r>
      <w:r w:rsidR="00A66877" w:rsidRPr="00D413B8">
        <w:rPr>
          <w:color w:val="auto"/>
        </w:rPr>
        <w:t>(</w:t>
      </w:r>
      <w:r w:rsidRPr="00D413B8">
        <w:rPr>
          <w:color w:val="auto"/>
        </w:rPr>
        <w:t>£</w:t>
      </w:r>
      <w:r w:rsidR="00556458">
        <w:rPr>
          <w:color w:val="auto"/>
        </w:rPr>
        <w:t>0.533</w:t>
      </w:r>
      <w:r w:rsidR="00A66877" w:rsidRPr="00D413B8">
        <w:rPr>
          <w:color w:val="auto"/>
        </w:rPr>
        <w:t>)</w:t>
      </w:r>
      <w:r w:rsidRPr="00D413B8">
        <w:rPr>
          <w:color w:val="auto"/>
        </w:rPr>
        <w:t xml:space="preserve"> million slippage into 2018/19 due to delays on site, the project is still due to complete by June 2018;</w:t>
      </w:r>
    </w:p>
    <w:p w14:paraId="542029D9" w14:textId="77777777" w:rsidR="00F93CA3" w:rsidRPr="00953287" w:rsidRDefault="00F93CA3" w:rsidP="00953287">
      <w:pPr>
        <w:pStyle w:val="ListParagraph"/>
        <w:numPr>
          <w:ilvl w:val="0"/>
          <w:numId w:val="36"/>
        </w:numPr>
        <w:rPr>
          <w:color w:val="FF0000"/>
        </w:rPr>
      </w:pPr>
      <w:r w:rsidRPr="00D413B8">
        <w:rPr>
          <w:b/>
          <w:color w:val="auto"/>
        </w:rPr>
        <w:t xml:space="preserve">Go Ultra Low </w:t>
      </w:r>
      <w:r w:rsidR="00D413B8" w:rsidRPr="00D413B8">
        <w:rPr>
          <w:color w:val="auto"/>
        </w:rPr>
        <w:t>–</w:t>
      </w:r>
      <w:r w:rsidRPr="00D413B8">
        <w:rPr>
          <w:color w:val="auto"/>
        </w:rPr>
        <w:t xml:space="preserve"> </w:t>
      </w:r>
      <w:r w:rsidR="00D413B8" w:rsidRPr="00D413B8">
        <w:rPr>
          <w:color w:val="auto"/>
        </w:rPr>
        <w:t>(£0.119)</w:t>
      </w:r>
      <w:r w:rsidRPr="00D413B8">
        <w:rPr>
          <w:color w:val="auto"/>
        </w:rPr>
        <w:t xml:space="preserve"> million</w:t>
      </w:r>
      <w:r w:rsidR="00D413B8" w:rsidRPr="00D413B8">
        <w:rPr>
          <w:color w:val="auto"/>
        </w:rPr>
        <w:t xml:space="preserve"> slippage into 2018/19 due to the remaining chargers being installed in </w:t>
      </w:r>
      <w:r w:rsidR="00D413B8" w:rsidRPr="00953287">
        <w:rPr>
          <w:color w:val="auto"/>
        </w:rPr>
        <w:t>April</w:t>
      </w:r>
      <w:r w:rsidR="00953287" w:rsidRPr="00953287">
        <w:rPr>
          <w:color w:val="auto"/>
        </w:rPr>
        <w:t xml:space="preserve"> 2018;</w:t>
      </w:r>
    </w:p>
    <w:p w14:paraId="70F242D8" w14:textId="77777777" w:rsidR="002D3DE5" w:rsidRPr="00D413B8" w:rsidRDefault="002D3DE5" w:rsidP="002D3DE5">
      <w:pPr>
        <w:pStyle w:val="ListParagraph"/>
        <w:numPr>
          <w:ilvl w:val="0"/>
          <w:numId w:val="36"/>
        </w:numPr>
        <w:rPr>
          <w:color w:val="auto"/>
        </w:rPr>
      </w:pPr>
      <w:r w:rsidRPr="00D413B8">
        <w:rPr>
          <w:b/>
          <w:color w:val="auto"/>
        </w:rPr>
        <w:t xml:space="preserve">Housing Company Loans </w:t>
      </w:r>
      <w:r w:rsidR="00A66877" w:rsidRPr="00D413B8">
        <w:rPr>
          <w:color w:val="auto"/>
        </w:rPr>
        <w:t>–</w:t>
      </w:r>
      <w:r w:rsidRPr="00D413B8">
        <w:rPr>
          <w:color w:val="auto"/>
        </w:rPr>
        <w:t xml:space="preserve"> </w:t>
      </w:r>
      <w:r w:rsidR="00A66877" w:rsidRPr="00D413B8">
        <w:rPr>
          <w:color w:val="auto"/>
        </w:rPr>
        <w:t>(</w:t>
      </w:r>
      <w:r w:rsidRPr="00D413B8">
        <w:rPr>
          <w:color w:val="auto"/>
        </w:rPr>
        <w:t>£2.695</w:t>
      </w:r>
      <w:r w:rsidR="00A66877" w:rsidRPr="00D413B8">
        <w:rPr>
          <w:color w:val="auto"/>
        </w:rPr>
        <w:t>)</w:t>
      </w:r>
      <w:r w:rsidRPr="00D413B8">
        <w:rPr>
          <w:color w:val="auto"/>
        </w:rPr>
        <w:t xml:space="preserve"> million </w:t>
      </w:r>
      <w:r w:rsidR="00DE5C00" w:rsidRPr="00D413B8">
        <w:rPr>
          <w:color w:val="auto"/>
        </w:rPr>
        <w:t>slippage on the Housing Company development programme</w:t>
      </w:r>
      <w:r w:rsidRPr="00D413B8">
        <w:rPr>
          <w:color w:val="auto"/>
        </w:rPr>
        <w:t>;</w:t>
      </w:r>
    </w:p>
    <w:p w14:paraId="18FB5095" w14:textId="77777777" w:rsidR="00971754" w:rsidRPr="00953287" w:rsidRDefault="00971754" w:rsidP="00971754">
      <w:pPr>
        <w:pStyle w:val="ListParagraph"/>
        <w:numPr>
          <w:ilvl w:val="0"/>
          <w:numId w:val="36"/>
        </w:numPr>
        <w:rPr>
          <w:color w:val="auto"/>
        </w:rPr>
      </w:pPr>
      <w:proofErr w:type="spellStart"/>
      <w:r w:rsidRPr="00D413B8">
        <w:rPr>
          <w:b/>
          <w:color w:val="auto"/>
        </w:rPr>
        <w:t>Seacourt</w:t>
      </w:r>
      <w:proofErr w:type="spellEnd"/>
      <w:r w:rsidRPr="00D413B8">
        <w:rPr>
          <w:b/>
          <w:color w:val="auto"/>
        </w:rPr>
        <w:t xml:space="preserve"> Park and Ride</w:t>
      </w:r>
      <w:r w:rsidR="002D3DE5" w:rsidRPr="00D413B8">
        <w:rPr>
          <w:color w:val="auto"/>
        </w:rPr>
        <w:t xml:space="preserve"> </w:t>
      </w:r>
      <w:r w:rsidR="00A66877" w:rsidRPr="00D413B8">
        <w:rPr>
          <w:color w:val="auto"/>
        </w:rPr>
        <w:t>–</w:t>
      </w:r>
      <w:r w:rsidR="002D3DE5" w:rsidRPr="00D413B8">
        <w:rPr>
          <w:color w:val="auto"/>
        </w:rPr>
        <w:t xml:space="preserve"> </w:t>
      </w:r>
      <w:r w:rsidR="00A66877" w:rsidRPr="00D413B8">
        <w:rPr>
          <w:color w:val="auto"/>
        </w:rPr>
        <w:t>(</w:t>
      </w:r>
      <w:r w:rsidR="002D3DE5" w:rsidRPr="00D413B8">
        <w:rPr>
          <w:color w:val="auto"/>
        </w:rPr>
        <w:t>£</w:t>
      </w:r>
      <w:r w:rsidR="00D413B8" w:rsidRPr="00D413B8">
        <w:rPr>
          <w:color w:val="auto"/>
        </w:rPr>
        <w:t>0</w:t>
      </w:r>
      <w:r w:rsidR="002D3DE5" w:rsidRPr="00D413B8">
        <w:rPr>
          <w:color w:val="auto"/>
        </w:rPr>
        <w:t>.</w:t>
      </w:r>
      <w:r w:rsidR="00D413B8" w:rsidRPr="00D413B8">
        <w:rPr>
          <w:color w:val="auto"/>
        </w:rPr>
        <w:t>233</w:t>
      </w:r>
      <w:r w:rsidR="00A66877" w:rsidRPr="00D413B8">
        <w:rPr>
          <w:color w:val="auto"/>
        </w:rPr>
        <w:t>)</w:t>
      </w:r>
      <w:r w:rsidRPr="00D413B8">
        <w:rPr>
          <w:color w:val="auto"/>
        </w:rPr>
        <w:t xml:space="preserve"> million </w:t>
      </w:r>
      <w:r w:rsidR="00A66877" w:rsidRPr="00D413B8">
        <w:rPr>
          <w:color w:val="auto"/>
        </w:rPr>
        <w:t xml:space="preserve">slippage </w:t>
      </w:r>
      <w:r w:rsidRPr="00D413B8">
        <w:rPr>
          <w:color w:val="auto"/>
        </w:rPr>
        <w:t xml:space="preserve">– delays in project delivery due to liaison with other agencies and </w:t>
      </w:r>
      <w:r w:rsidR="002D3DE5" w:rsidRPr="00D413B8">
        <w:rPr>
          <w:color w:val="auto"/>
        </w:rPr>
        <w:t xml:space="preserve">receiving </w:t>
      </w:r>
      <w:r w:rsidR="002D3DE5" w:rsidRPr="00953287">
        <w:rPr>
          <w:color w:val="auto"/>
        </w:rPr>
        <w:t>planning permission.  Work now expect</w:t>
      </w:r>
      <w:r w:rsidR="00A66877" w:rsidRPr="00953287">
        <w:rPr>
          <w:color w:val="auto"/>
        </w:rPr>
        <w:t>ed to start on site in May 2018;</w:t>
      </w:r>
    </w:p>
    <w:p w14:paraId="7C4F1E32" w14:textId="77777777" w:rsidR="00A66877" w:rsidRPr="00953287" w:rsidRDefault="00A66877" w:rsidP="00953287">
      <w:pPr>
        <w:rPr>
          <w:b/>
          <w:color w:val="auto"/>
        </w:rPr>
      </w:pPr>
      <w:r w:rsidRPr="00953287">
        <w:rPr>
          <w:b/>
          <w:color w:val="auto"/>
        </w:rPr>
        <w:t>HRA</w:t>
      </w:r>
    </w:p>
    <w:p w14:paraId="02465B9B" w14:textId="77777777" w:rsidR="00AD6658" w:rsidRPr="00D413B8" w:rsidRDefault="00AD6658" w:rsidP="00AD6658">
      <w:pPr>
        <w:pStyle w:val="ListParagraph"/>
        <w:numPr>
          <w:ilvl w:val="0"/>
          <w:numId w:val="36"/>
        </w:numPr>
        <w:rPr>
          <w:color w:val="auto"/>
        </w:rPr>
      </w:pPr>
      <w:r w:rsidRPr="00D413B8">
        <w:rPr>
          <w:b/>
          <w:color w:val="auto"/>
        </w:rPr>
        <w:t>Tower Blocks</w:t>
      </w:r>
      <w:r w:rsidR="00A66877" w:rsidRPr="00D413B8">
        <w:rPr>
          <w:color w:val="auto"/>
        </w:rPr>
        <w:t xml:space="preserve"> </w:t>
      </w:r>
      <w:r w:rsidR="006B3EBB" w:rsidRPr="00D413B8">
        <w:rPr>
          <w:color w:val="auto"/>
        </w:rPr>
        <w:t>–</w:t>
      </w:r>
      <w:r w:rsidR="00A66877" w:rsidRPr="00D413B8">
        <w:rPr>
          <w:color w:val="auto"/>
        </w:rPr>
        <w:t xml:space="preserve"> </w:t>
      </w:r>
      <w:r w:rsidR="00953287">
        <w:rPr>
          <w:color w:val="auto"/>
        </w:rPr>
        <w:t>(</w:t>
      </w:r>
      <w:r w:rsidR="00A66877" w:rsidRPr="00D413B8">
        <w:rPr>
          <w:color w:val="auto"/>
        </w:rPr>
        <w:t>£</w:t>
      </w:r>
      <w:r w:rsidR="00D413B8" w:rsidRPr="00D413B8">
        <w:rPr>
          <w:color w:val="auto"/>
        </w:rPr>
        <w:t>0.315</w:t>
      </w:r>
      <w:r w:rsidR="00953287">
        <w:rPr>
          <w:color w:val="auto"/>
        </w:rPr>
        <w:t>)</w:t>
      </w:r>
      <w:r w:rsidR="0064756A" w:rsidRPr="00D413B8">
        <w:rPr>
          <w:color w:val="auto"/>
        </w:rPr>
        <w:t xml:space="preserve"> million</w:t>
      </w:r>
      <w:r w:rsidR="00A66877" w:rsidRPr="00D413B8">
        <w:rPr>
          <w:color w:val="auto"/>
        </w:rPr>
        <w:t xml:space="preserve"> </w:t>
      </w:r>
      <w:r w:rsidR="0064756A" w:rsidRPr="00D413B8">
        <w:rPr>
          <w:color w:val="auto"/>
        </w:rPr>
        <w:t xml:space="preserve"> – </w:t>
      </w:r>
      <w:r w:rsidR="006B3EBB" w:rsidRPr="00D413B8">
        <w:rPr>
          <w:color w:val="auto"/>
        </w:rPr>
        <w:t>additional funding required to the scheme for the replacement cladding</w:t>
      </w:r>
      <w:r w:rsidR="00D563F6" w:rsidRPr="00D413B8">
        <w:rPr>
          <w:color w:val="auto"/>
        </w:rPr>
        <w:t>;</w:t>
      </w:r>
    </w:p>
    <w:p w14:paraId="6034EB1A" w14:textId="77777777" w:rsidR="00AD6658" w:rsidRPr="001B57C2" w:rsidRDefault="00D413B8" w:rsidP="00AD6658">
      <w:pPr>
        <w:pStyle w:val="ListParagraph"/>
        <w:numPr>
          <w:ilvl w:val="0"/>
          <w:numId w:val="36"/>
        </w:numPr>
        <w:rPr>
          <w:color w:val="auto"/>
        </w:rPr>
      </w:pPr>
      <w:r w:rsidRPr="00953287">
        <w:rPr>
          <w:b/>
          <w:color w:val="auto"/>
        </w:rPr>
        <w:t>Great Estates</w:t>
      </w:r>
      <w:r w:rsidR="00AD6658" w:rsidRPr="00953287">
        <w:rPr>
          <w:b/>
          <w:color w:val="auto"/>
        </w:rPr>
        <w:t xml:space="preserve"> </w:t>
      </w:r>
      <w:r w:rsidR="006B3EBB" w:rsidRPr="00953287">
        <w:rPr>
          <w:color w:val="auto"/>
        </w:rPr>
        <w:t>–</w:t>
      </w:r>
      <w:r w:rsidR="00AD6658" w:rsidRPr="00953287">
        <w:rPr>
          <w:color w:val="auto"/>
        </w:rPr>
        <w:t xml:space="preserve"> </w:t>
      </w:r>
      <w:r w:rsidR="006B3EBB" w:rsidRPr="00953287">
        <w:rPr>
          <w:color w:val="auto"/>
        </w:rPr>
        <w:t>(</w:t>
      </w:r>
      <w:r w:rsidR="00AD6658" w:rsidRPr="00953287">
        <w:rPr>
          <w:color w:val="auto"/>
        </w:rPr>
        <w:t>£</w:t>
      </w:r>
      <w:r w:rsidR="00953287" w:rsidRPr="00953287">
        <w:rPr>
          <w:color w:val="auto"/>
        </w:rPr>
        <w:t>0</w:t>
      </w:r>
      <w:r w:rsidR="006B3EBB" w:rsidRPr="00953287">
        <w:rPr>
          <w:color w:val="auto"/>
        </w:rPr>
        <w:t>.</w:t>
      </w:r>
      <w:r w:rsidR="00953287" w:rsidRPr="00953287">
        <w:rPr>
          <w:color w:val="auto"/>
        </w:rPr>
        <w:t>243</w:t>
      </w:r>
      <w:r w:rsidR="006B3EBB" w:rsidRPr="00953287">
        <w:rPr>
          <w:color w:val="auto"/>
        </w:rPr>
        <w:t>)</w:t>
      </w:r>
      <w:r w:rsidR="00AD6658" w:rsidRPr="00953287">
        <w:rPr>
          <w:color w:val="auto"/>
        </w:rPr>
        <w:t xml:space="preserve"> million </w:t>
      </w:r>
      <w:r w:rsidR="006B3EBB" w:rsidRPr="00953287">
        <w:rPr>
          <w:color w:val="auto"/>
        </w:rPr>
        <w:t>slippage,</w:t>
      </w:r>
      <w:r w:rsidR="00953287" w:rsidRPr="00953287">
        <w:rPr>
          <w:color w:val="auto"/>
        </w:rPr>
        <w:t xml:space="preserve"> to completed the committed schemes;</w:t>
      </w:r>
    </w:p>
    <w:p w14:paraId="692C1B36" w14:textId="77777777" w:rsidR="00953287" w:rsidRPr="001B57C2" w:rsidRDefault="00953287" w:rsidP="00AD6658">
      <w:pPr>
        <w:pStyle w:val="ListParagraph"/>
        <w:numPr>
          <w:ilvl w:val="0"/>
          <w:numId w:val="36"/>
        </w:numPr>
        <w:rPr>
          <w:color w:val="auto"/>
        </w:rPr>
      </w:pPr>
      <w:r w:rsidRPr="001B57C2">
        <w:rPr>
          <w:b/>
          <w:color w:val="auto"/>
        </w:rPr>
        <w:t xml:space="preserve">Developments at Bracegirdle and Mortimer Drive </w:t>
      </w:r>
      <w:r w:rsidRPr="001B57C2">
        <w:rPr>
          <w:color w:val="auto"/>
        </w:rPr>
        <w:t xml:space="preserve">– (£0.558) million slippage, </w:t>
      </w:r>
      <w:r w:rsidR="001B57C2" w:rsidRPr="001B57C2">
        <w:rPr>
          <w:color w:val="auto"/>
        </w:rPr>
        <w:t>Contractors have been appointed to manage the delivery of this scheme and pre application planning has been undertaken, work will continue into 2018/19;</w:t>
      </w:r>
    </w:p>
    <w:p w14:paraId="5C1CE47F" w14:textId="77777777" w:rsidR="00953287" w:rsidRPr="00953287" w:rsidRDefault="00953287" w:rsidP="00AD6658">
      <w:pPr>
        <w:pStyle w:val="ListParagraph"/>
        <w:numPr>
          <w:ilvl w:val="0"/>
          <w:numId w:val="36"/>
        </w:numPr>
        <w:rPr>
          <w:color w:val="auto"/>
        </w:rPr>
      </w:pPr>
      <w:r w:rsidRPr="00953287">
        <w:rPr>
          <w:b/>
          <w:color w:val="auto"/>
        </w:rPr>
        <w:t xml:space="preserve">Barton Regeneration </w:t>
      </w:r>
      <w:r w:rsidRPr="00953287">
        <w:rPr>
          <w:color w:val="auto"/>
        </w:rPr>
        <w:t>– (£0.154) million slippage, to enable works on Barton Road Flats to be completed now that planning permission has been received.</w:t>
      </w:r>
    </w:p>
    <w:p w14:paraId="5B76BBF8" w14:textId="77777777" w:rsidR="00773D35" w:rsidRPr="000E6801" w:rsidRDefault="00773D35" w:rsidP="00773D35">
      <w:pPr>
        <w:tabs>
          <w:tab w:val="left" w:pos="426"/>
        </w:tabs>
        <w:ind w:left="1080"/>
        <w:rPr>
          <w:color w:val="FF0000"/>
        </w:rPr>
      </w:pPr>
    </w:p>
    <w:p w14:paraId="7515FF25" w14:textId="77777777" w:rsidR="008D3FE6" w:rsidRPr="00C02347" w:rsidRDefault="008D3FE6" w:rsidP="008D3FE6">
      <w:pPr>
        <w:pStyle w:val="ListParagraph"/>
        <w:numPr>
          <w:ilvl w:val="0"/>
          <w:numId w:val="0"/>
        </w:numPr>
        <w:ind w:left="426" w:hanging="426"/>
        <w:rPr>
          <w:b/>
          <w:color w:val="auto"/>
        </w:rPr>
      </w:pPr>
      <w:r w:rsidRPr="00C02347">
        <w:rPr>
          <w:b/>
          <w:color w:val="auto"/>
        </w:rPr>
        <w:t>Performance Management</w:t>
      </w:r>
    </w:p>
    <w:p w14:paraId="67EA176A" w14:textId="77777777" w:rsidR="00CC118B" w:rsidRPr="00C02347" w:rsidRDefault="00905148" w:rsidP="00E835AB">
      <w:pPr>
        <w:pStyle w:val="ListParagraph"/>
        <w:rPr>
          <w:color w:val="auto"/>
        </w:rPr>
      </w:pPr>
      <w:r w:rsidRPr="00C02347">
        <w:rPr>
          <w:color w:val="auto"/>
        </w:rPr>
        <w:t xml:space="preserve">There are </w:t>
      </w:r>
      <w:r w:rsidR="00F93CA3" w:rsidRPr="00C02347">
        <w:rPr>
          <w:color w:val="auto"/>
        </w:rPr>
        <w:t>sixteen</w:t>
      </w:r>
      <w:r w:rsidRPr="00C02347">
        <w:rPr>
          <w:color w:val="auto"/>
        </w:rPr>
        <w:t xml:space="preserve"> </w:t>
      </w:r>
      <w:r w:rsidR="00775283" w:rsidRPr="00C02347">
        <w:rPr>
          <w:color w:val="auto"/>
        </w:rPr>
        <w:t>corporate</w:t>
      </w:r>
      <w:r w:rsidR="008D3FE6" w:rsidRPr="00C02347">
        <w:rPr>
          <w:color w:val="auto"/>
        </w:rPr>
        <w:t xml:space="preserve"> </w:t>
      </w:r>
      <w:r w:rsidR="008D3FE6" w:rsidRPr="00C02347">
        <w:rPr>
          <w:rFonts w:eastAsia="Calibri"/>
          <w:color w:val="auto"/>
        </w:rPr>
        <w:t>performance</w:t>
      </w:r>
      <w:r w:rsidRPr="00C02347">
        <w:rPr>
          <w:rFonts w:eastAsia="Calibri"/>
          <w:color w:val="auto"/>
        </w:rPr>
        <w:t xml:space="preserve"> measures tha</w:t>
      </w:r>
      <w:r w:rsidR="007C282E" w:rsidRPr="00C02347">
        <w:rPr>
          <w:rFonts w:eastAsia="Calibri"/>
          <w:color w:val="auto"/>
        </w:rPr>
        <w:t xml:space="preserve">t </w:t>
      </w:r>
      <w:r w:rsidR="00B73D1D" w:rsidRPr="00C02347">
        <w:rPr>
          <w:rFonts w:eastAsia="Calibri"/>
          <w:color w:val="auto"/>
        </w:rPr>
        <w:t>were</w:t>
      </w:r>
      <w:r w:rsidR="007C282E" w:rsidRPr="00C02347">
        <w:rPr>
          <w:rFonts w:eastAsia="Calibri"/>
          <w:color w:val="auto"/>
        </w:rPr>
        <w:t xml:space="preserve"> monitored during the year</w:t>
      </w:r>
      <w:r w:rsidR="00C02347" w:rsidRPr="00C02347">
        <w:rPr>
          <w:rFonts w:eastAsia="Calibri"/>
          <w:color w:val="auto"/>
        </w:rPr>
        <w:t xml:space="preserve"> (Appendix F</w:t>
      </w:r>
      <w:r w:rsidR="00B73D1D" w:rsidRPr="00C02347">
        <w:rPr>
          <w:rFonts w:eastAsia="Calibri"/>
          <w:color w:val="auto"/>
        </w:rPr>
        <w:t>)</w:t>
      </w:r>
      <w:r w:rsidR="008D3FE6" w:rsidRPr="00C02347">
        <w:rPr>
          <w:rFonts w:eastAsia="Calibri"/>
          <w:color w:val="auto"/>
        </w:rPr>
        <w:t xml:space="preserve">. </w:t>
      </w:r>
      <w:r w:rsidR="008161BB" w:rsidRPr="00C02347">
        <w:rPr>
          <w:rFonts w:eastAsia="Calibri"/>
          <w:color w:val="auto"/>
        </w:rPr>
        <w:t xml:space="preserve">Twelve </w:t>
      </w:r>
      <w:r w:rsidR="00287FB6" w:rsidRPr="00C02347">
        <w:rPr>
          <w:rFonts w:eastAsia="Calibri"/>
          <w:color w:val="auto"/>
        </w:rPr>
        <w:t>(</w:t>
      </w:r>
      <w:r w:rsidR="00C02347" w:rsidRPr="00C02347">
        <w:rPr>
          <w:rFonts w:eastAsia="Calibri"/>
          <w:color w:val="auto"/>
        </w:rPr>
        <w:t>75</w:t>
      </w:r>
      <w:r w:rsidR="00287FB6" w:rsidRPr="00C02347">
        <w:rPr>
          <w:rFonts w:eastAsia="Calibri"/>
          <w:color w:val="auto"/>
        </w:rPr>
        <w:t xml:space="preserve">%) </w:t>
      </w:r>
      <w:r w:rsidR="00B73D1D" w:rsidRPr="00C02347">
        <w:rPr>
          <w:rFonts w:eastAsia="Calibri"/>
          <w:color w:val="auto"/>
        </w:rPr>
        <w:t>were</w:t>
      </w:r>
      <w:r w:rsidR="00A86331" w:rsidRPr="00C02347">
        <w:rPr>
          <w:rFonts w:eastAsia="Calibri"/>
          <w:color w:val="auto"/>
        </w:rPr>
        <w:t xml:space="preserve"> delivered as planned</w:t>
      </w:r>
      <w:r w:rsidR="00CC118B" w:rsidRPr="00C02347">
        <w:rPr>
          <w:rFonts w:eastAsia="Calibri"/>
          <w:color w:val="auto"/>
        </w:rPr>
        <w:t xml:space="preserve"> </w:t>
      </w:r>
      <w:r w:rsidR="003A35E7" w:rsidRPr="00C02347">
        <w:rPr>
          <w:rFonts w:eastAsia="Calibri"/>
          <w:color w:val="auto"/>
        </w:rPr>
        <w:t xml:space="preserve">(Green) </w:t>
      </w:r>
      <w:r w:rsidR="00CC118B" w:rsidRPr="00C02347">
        <w:rPr>
          <w:rFonts w:eastAsia="Calibri"/>
          <w:color w:val="auto"/>
        </w:rPr>
        <w:t>and</w:t>
      </w:r>
      <w:r w:rsidR="00A86331" w:rsidRPr="00C02347">
        <w:rPr>
          <w:rFonts w:eastAsia="Calibri"/>
          <w:color w:val="auto"/>
        </w:rPr>
        <w:t xml:space="preserve"> </w:t>
      </w:r>
      <w:r w:rsidR="00C02347" w:rsidRPr="00C02347">
        <w:rPr>
          <w:rFonts w:eastAsia="Calibri"/>
          <w:color w:val="auto"/>
        </w:rPr>
        <w:t>four</w:t>
      </w:r>
      <w:r w:rsidR="008161BB" w:rsidRPr="00C02347">
        <w:rPr>
          <w:rFonts w:eastAsia="Calibri"/>
          <w:color w:val="auto"/>
        </w:rPr>
        <w:t xml:space="preserve"> </w:t>
      </w:r>
      <w:r w:rsidR="00287FB6" w:rsidRPr="00C02347">
        <w:rPr>
          <w:rFonts w:eastAsia="Calibri"/>
          <w:color w:val="auto"/>
        </w:rPr>
        <w:t>(</w:t>
      </w:r>
      <w:r w:rsidR="000D16EF" w:rsidRPr="00C02347">
        <w:rPr>
          <w:rFonts w:eastAsia="Calibri"/>
          <w:color w:val="auto"/>
        </w:rPr>
        <w:t>2</w:t>
      </w:r>
      <w:r w:rsidR="00C02347" w:rsidRPr="00C02347">
        <w:rPr>
          <w:rFonts w:eastAsia="Calibri"/>
          <w:color w:val="auto"/>
        </w:rPr>
        <w:t>5</w:t>
      </w:r>
      <w:r w:rsidR="00287FB6" w:rsidRPr="00C02347">
        <w:rPr>
          <w:rFonts w:eastAsia="Calibri"/>
          <w:color w:val="auto"/>
        </w:rPr>
        <w:t xml:space="preserve">%) </w:t>
      </w:r>
      <w:r w:rsidR="00B73D1D" w:rsidRPr="00C02347">
        <w:rPr>
          <w:rFonts w:eastAsia="Calibri"/>
          <w:color w:val="auto"/>
        </w:rPr>
        <w:t>fell short of their target</w:t>
      </w:r>
      <w:r w:rsidR="00CC118B" w:rsidRPr="00C02347">
        <w:rPr>
          <w:rFonts w:eastAsia="Calibri"/>
          <w:color w:val="auto"/>
        </w:rPr>
        <w:t>.</w:t>
      </w:r>
      <w:r w:rsidR="000D16EF" w:rsidRPr="00C02347">
        <w:rPr>
          <w:rFonts w:eastAsia="Calibri"/>
          <w:color w:val="auto"/>
        </w:rPr>
        <w:t xml:space="preserve"> </w:t>
      </w:r>
    </w:p>
    <w:p w14:paraId="1A9129C8" w14:textId="77777777" w:rsidR="000202F2" w:rsidRPr="00C02347" w:rsidRDefault="000202F2" w:rsidP="00E835AB">
      <w:pPr>
        <w:pStyle w:val="ListParagraph"/>
        <w:rPr>
          <w:color w:val="auto"/>
        </w:rPr>
      </w:pPr>
      <w:r w:rsidRPr="00C02347">
        <w:rPr>
          <w:rFonts w:eastAsia="Calibri" w:cs="Arial"/>
          <w:color w:val="auto"/>
        </w:rPr>
        <w:t xml:space="preserve">The </w:t>
      </w:r>
      <w:r w:rsidR="00C02347" w:rsidRPr="00C02347">
        <w:rPr>
          <w:rFonts w:eastAsia="Calibri" w:cs="Arial"/>
          <w:color w:val="auto"/>
        </w:rPr>
        <w:t>four</w:t>
      </w:r>
      <w:r w:rsidR="008161BB" w:rsidRPr="00C02347">
        <w:rPr>
          <w:rFonts w:eastAsia="Calibri" w:cs="Arial"/>
          <w:color w:val="auto"/>
        </w:rPr>
        <w:t xml:space="preserve"> </w:t>
      </w:r>
      <w:r w:rsidR="003936BA" w:rsidRPr="00C02347">
        <w:rPr>
          <w:rFonts w:eastAsia="Calibri" w:cs="Arial"/>
          <w:color w:val="auto"/>
        </w:rPr>
        <w:t>indicators are detailed below:</w:t>
      </w:r>
    </w:p>
    <w:p w14:paraId="4DFCA330" w14:textId="77777777" w:rsidR="003936BA" w:rsidRPr="00C02347" w:rsidRDefault="00875823" w:rsidP="00E835AB">
      <w:pPr>
        <w:pStyle w:val="ListParagraph"/>
        <w:numPr>
          <w:ilvl w:val="1"/>
          <w:numId w:val="2"/>
        </w:numPr>
        <w:rPr>
          <w:color w:val="auto"/>
        </w:rPr>
      </w:pPr>
      <w:r w:rsidRPr="00C02347">
        <w:rPr>
          <w:rFonts w:eastAsia="Calibri" w:cs="Arial"/>
          <w:color w:val="auto"/>
        </w:rPr>
        <w:lastRenderedPageBreak/>
        <w:t>Amount of employment</w:t>
      </w:r>
      <w:r w:rsidR="00333AD9" w:rsidRPr="00C02347">
        <w:rPr>
          <w:rFonts w:eastAsia="Calibri" w:cs="Arial"/>
          <w:color w:val="auto"/>
        </w:rPr>
        <w:t xml:space="preserve"> floor space permitted for development</w:t>
      </w:r>
      <w:r w:rsidR="003936BA" w:rsidRPr="00C02347">
        <w:rPr>
          <w:rFonts w:eastAsia="Calibri" w:cs="Arial"/>
          <w:color w:val="auto"/>
        </w:rPr>
        <w:t xml:space="preserve"> –</w:t>
      </w:r>
      <w:r w:rsidR="00333AD9" w:rsidRPr="00C02347">
        <w:rPr>
          <w:rFonts w:eastAsia="Calibri" w:cs="Arial"/>
          <w:color w:val="auto"/>
        </w:rPr>
        <w:t>target of 1</w:t>
      </w:r>
      <w:r w:rsidR="00C02347" w:rsidRPr="00C02347">
        <w:rPr>
          <w:rFonts w:eastAsia="Calibri" w:cs="Arial"/>
          <w:color w:val="auto"/>
        </w:rPr>
        <w:t xml:space="preserve">5,000 and a year end result of </w:t>
      </w:r>
      <w:r w:rsidR="00333AD9" w:rsidRPr="00C02347">
        <w:rPr>
          <w:rFonts w:eastAsia="Calibri" w:cs="Arial"/>
          <w:color w:val="auto"/>
        </w:rPr>
        <w:t>4,</w:t>
      </w:r>
      <w:r w:rsidR="00C02347" w:rsidRPr="00C02347">
        <w:rPr>
          <w:rFonts w:eastAsia="Calibri" w:cs="Arial"/>
          <w:color w:val="auto"/>
        </w:rPr>
        <w:t>553</w:t>
      </w:r>
      <w:r w:rsidR="003936BA" w:rsidRPr="00C02347">
        <w:rPr>
          <w:rFonts w:eastAsia="Calibri" w:cs="Arial"/>
          <w:color w:val="auto"/>
        </w:rPr>
        <w:t>;</w:t>
      </w:r>
      <w:r w:rsidR="006E68D7">
        <w:rPr>
          <w:rFonts w:eastAsia="Calibri" w:cs="Arial"/>
          <w:color w:val="auto"/>
        </w:rPr>
        <w:t xml:space="preserve"> it should be noted that significant developments of employment space are proposed in the coming years;</w:t>
      </w:r>
    </w:p>
    <w:p w14:paraId="700D57DA" w14:textId="5E0AE2B7" w:rsidR="00C02347" w:rsidRPr="00C02347" w:rsidRDefault="00C02347" w:rsidP="00E835AB">
      <w:pPr>
        <w:pStyle w:val="ListParagraph"/>
        <w:numPr>
          <w:ilvl w:val="1"/>
          <w:numId w:val="2"/>
        </w:numPr>
        <w:rPr>
          <w:color w:val="auto"/>
        </w:rPr>
      </w:pPr>
      <w:r w:rsidRPr="00C02347">
        <w:rPr>
          <w:color w:val="auto"/>
        </w:rPr>
        <w:t xml:space="preserve">Net increase in number of businesses operating in the city – target of 200 and a year end result of </w:t>
      </w:r>
      <w:r w:rsidR="00F50468">
        <w:rPr>
          <w:color w:val="auto"/>
        </w:rPr>
        <w:t>140</w:t>
      </w:r>
      <w:r w:rsidRPr="00C02347">
        <w:rPr>
          <w:color w:val="auto"/>
        </w:rPr>
        <w:t>;</w:t>
      </w:r>
    </w:p>
    <w:p w14:paraId="4AF04A38" w14:textId="77777777" w:rsidR="003936BA" w:rsidRPr="00C02347" w:rsidRDefault="00333AD9" w:rsidP="00E835AB">
      <w:pPr>
        <w:pStyle w:val="ListParagraph"/>
        <w:numPr>
          <w:ilvl w:val="1"/>
          <w:numId w:val="2"/>
        </w:numPr>
        <w:rPr>
          <w:color w:val="auto"/>
        </w:rPr>
      </w:pPr>
      <w:r w:rsidRPr="00C02347">
        <w:rPr>
          <w:color w:val="auto"/>
        </w:rPr>
        <w:t xml:space="preserve">Number of people using </w:t>
      </w:r>
      <w:r w:rsidR="00C02347" w:rsidRPr="00C02347">
        <w:rPr>
          <w:color w:val="auto"/>
        </w:rPr>
        <w:t>leisure centres – target of 1,45</w:t>
      </w:r>
      <w:r w:rsidRPr="00C02347">
        <w:rPr>
          <w:color w:val="auto"/>
        </w:rPr>
        <w:t xml:space="preserve">0,000 and a year end result of </w:t>
      </w:r>
      <w:r w:rsidR="00C02347" w:rsidRPr="00C02347">
        <w:rPr>
          <w:color w:val="auto"/>
        </w:rPr>
        <w:t>992,316;</w:t>
      </w:r>
    </w:p>
    <w:p w14:paraId="7F5C2247" w14:textId="77777777" w:rsidR="00C02347" w:rsidRPr="00C02347" w:rsidRDefault="00C02347" w:rsidP="00C02347">
      <w:pPr>
        <w:pStyle w:val="ListParagraph"/>
        <w:numPr>
          <w:ilvl w:val="1"/>
          <w:numId w:val="2"/>
        </w:numPr>
        <w:rPr>
          <w:color w:val="auto"/>
        </w:rPr>
      </w:pPr>
      <w:r w:rsidRPr="00C02347">
        <w:rPr>
          <w:color w:val="auto"/>
        </w:rPr>
        <w:t>Percentage of customers satisfied with the OCC website – target of 65% and a year end result of 62%.</w:t>
      </w:r>
    </w:p>
    <w:p w14:paraId="0C9BF921" w14:textId="77777777" w:rsidR="008D3FE6" w:rsidRPr="006947AB" w:rsidRDefault="00292C57" w:rsidP="002E1770">
      <w:pPr>
        <w:rPr>
          <w:b/>
          <w:color w:val="auto"/>
        </w:rPr>
      </w:pPr>
      <w:r w:rsidRPr="006947AB">
        <w:rPr>
          <w:b/>
          <w:color w:val="auto"/>
        </w:rPr>
        <w:t xml:space="preserve">Corporate </w:t>
      </w:r>
      <w:r w:rsidR="008D3FE6" w:rsidRPr="006947AB">
        <w:rPr>
          <w:b/>
          <w:color w:val="auto"/>
        </w:rPr>
        <w:t>Risk</w:t>
      </w:r>
    </w:p>
    <w:p w14:paraId="56B119DD" w14:textId="77777777" w:rsidR="008D3FE6" w:rsidRPr="006947AB" w:rsidRDefault="00502033" w:rsidP="00E835AB">
      <w:pPr>
        <w:pStyle w:val="ListParagraph"/>
        <w:rPr>
          <w:color w:val="auto"/>
        </w:rPr>
      </w:pPr>
      <w:r w:rsidRPr="006947AB">
        <w:rPr>
          <w:color w:val="auto"/>
        </w:rPr>
        <w:t xml:space="preserve">Corporate </w:t>
      </w:r>
      <w:r w:rsidR="00C02347" w:rsidRPr="006947AB">
        <w:rPr>
          <w:color w:val="auto"/>
        </w:rPr>
        <w:t>risks are reported in Appendix E</w:t>
      </w:r>
    </w:p>
    <w:p w14:paraId="633A19EF" w14:textId="77777777" w:rsidR="00502033" w:rsidRPr="006947AB" w:rsidRDefault="00502033" w:rsidP="00E835AB">
      <w:pPr>
        <w:pStyle w:val="ListParagraph"/>
        <w:rPr>
          <w:color w:val="auto"/>
        </w:rPr>
      </w:pPr>
      <w:r w:rsidRPr="006947AB">
        <w:rPr>
          <w:color w:val="auto"/>
        </w:rPr>
        <w:t xml:space="preserve">There are </w:t>
      </w:r>
      <w:r w:rsidR="00C02347" w:rsidRPr="006947AB">
        <w:rPr>
          <w:color w:val="auto"/>
        </w:rPr>
        <w:t>nine Amber risks and one Red risk, t</w:t>
      </w:r>
      <w:r w:rsidRPr="006947AB">
        <w:rPr>
          <w:color w:val="auto"/>
        </w:rPr>
        <w:t>he red risk is detailed further below:</w:t>
      </w:r>
    </w:p>
    <w:p w14:paraId="4701E02F" w14:textId="77777777" w:rsidR="00431551" w:rsidRPr="006947AB" w:rsidRDefault="00C02347" w:rsidP="00E835AB">
      <w:pPr>
        <w:pStyle w:val="ListParagraph"/>
        <w:numPr>
          <w:ilvl w:val="1"/>
          <w:numId w:val="2"/>
        </w:numPr>
        <w:rPr>
          <w:color w:val="auto"/>
        </w:rPr>
      </w:pPr>
      <w:r w:rsidRPr="006947AB">
        <w:rPr>
          <w:color w:val="auto"/>
        </w:rPr>
        <w:t>Climate change</w:t>
      </w:r>
      <w:r w:rsidR="00A86331" w:rsidRPr="006947AB">
        <w:rPr>
          <w:color w:val="auto"/>
        </w:rPr>
        <w:t xml:space="preserve"> </w:t>
      </w:r>
      <w:r w:rsidR="00502033" w:rsidRPr="006947AB">
        <w:rPr>
          <w:color w:val="auto"/>
        </w:rPr>
        <w:t>–</w:t>
      </w:r>
      <w:r w:rsidR="00A86331" w:rsidRPr="006947AB">
        <w:rPr>
          <w:color w:val="auto"/>
        </w:rPr>
        <w:t xml:space="preserve"> </w:t>
      </w:r>
      <w:r w:rsidR="006947AB" w:rsidRPr="006947AB">
        <w:rPr>
          <w:color w:val="auto"/>
        </w:rPr>
        <w:t>The risk that a flood event happens that mitigations and plans are not sufficient to deal with</w:t>
      </w:r>
      <w:r w:rsidR="000E0560" w:rsidRPr="006947AB">
        <w:rPr>
          <w:color w:val="auto"/>
        </w:rPr>
        <w:t xml:space="preserve">.  </w:t>
      </w:r>
    </w:p>
    <w:p w14:paraId="2E02364E" w14:textId="77777777" w:rsidR="009559D8" w:rsidRPr="000E6801" w:rsidRDefault="009559D8" w:rsidP="00431551">
      <w:pPr>
        <w:pStyle w:val="ListParagraph"/>
        <w:numPr>
          <w:ilvl w:val="0"/>
          <w:numId w:val="0"/>
        </w:numPr>
        <w:rPr>
          <w:b/>
          <w:color w:val="auto"/>
        </w:rPr>
      </w:pPr>
      <w:r w:rsidRPr="000E6801">
        <w:rPr>
          <w:b/>
          <w:color w:val="auto"/>
        </w:rPr>
        <w:t>Financial implications</w:t>
      </w:r>
    </w:p>
    <w:p w14:paraId="25EA0FE6" w14:textId="77777777" w:rsidR="004F260A" w:rsidRPr="000E6801" w:rsidRDefault="004F260A" w:rsidP="00E835AB">
      <w:pPr>
        <w:pStyle w:val="ListParagraph"/>
        <w:ind w:left="644" w:hanging="720"/>
        <w:rPr>
          <w:color w:val="auto"/>
        </w:rPr>
      </w:pPr>
      <w:r w:rsidRPr="000E6801">
        <w:rPr>
          <w:color w:val="auto"/>
        </w:rPr>
        <w:t>All financial implications are covered in the body of this report and the Appendices.</w:t>
      </w:r>
    </w:p>
    <w:p w14:paraId="1F70C1EC" w14:textId="77777777" w:rsidR="0040736F" w:rsidRPr="000E6801" w:rsidRDefault="00DA614B" w:rsidP="004A6D2F">
      <w:pPr>
        <w:pStyle w:val="Heading1"/>
        <w:rPr>
          <w:color w:val="auto"/>
        </w:rPr>
      </w:pPr>
      <w:r w:rsidRPr="000E6801">
        <w:rPr>
          <w:color w:val="auto"/>
        </w:rPr>
        <w:t>Legal issues</w:t>
      </w:r>
    </w:p>
    <w:p w14:paraId="43CC4CA2" w14:textId="77777777" w:rsidR="00E87F7A" w:rsidRPr="000E6801" w:rsidRDefault="00256350" w:rsidP="00E835AB">
      <w:pPr>
        <w:pStyle w:val="ListParagraph"/>
        <w:rPr>
          <w:color w:val="auto"/>
        </w:rPr>
      </w:pPr>
      <w:r w:rsidRPr="000E6801">
        <w:rPr>
          <w:color w:val="auto"/>
        </w:rPr>
        <w:t>There are no legal implications directly relevant to this report</w:t>
      </w:r>
      <w:r w:rsidR="00E87F7A" w:rsidRPr="000E6801">
        <w:rPr>
          <w:color w:val="auto"/>
        </w:rPr>
        <w:t>.</w:t>
      </w:r>
    </w:p>
    <w:p w14:paraId="0FA4AAC9" w14:textId="77777777" w:rsidR="002329CF" w:rsidRPr="000E6801" w:rsidRDefault="002329CF" w:rsidP="004A6D2F">
      <w:pPr>
        <w:pStyle w:val="Heading1"/>
        <w:rPr>
          <w:color w:val="auto"/>
        </w:rPr>
      </w:pPr>
      <w:r w:rsidRPr="000E6801">
        <w:rPr>
          <w:color w:val="auto"/>
        </w:rPr>
        <w:t>Level of risk</w:t>
      </w:r>
    </w:p>
    <w:p w14:paraId="3B38A2E2" w14:textId="77777777" w:rsidR="00BC69A4" w:rsidRPr="000E6801" w:rsidRDefault="00256350" w:rsidP="00E835AB">
      <w:pPr>
        <w:pStyle w:val="ListParagraph"/>
        <w:rPr>
          <w:color w:val="auto"/>
        </w:rPr>
      </w:pPr>
      <w:r w:rsidRPr="000E6801">
        <w:rPr>
          <w:color w:val="auto"/>
        </w:rPr>
        <w:t>All risk implications are covered in the body of this report and the Appendices.</w:t>
      </w:r>
    </w:p>
    <w:p w14:paraId="06CD84FB" w14:textId="77777777" w:rsidR="002329CF" w:rsidRPr="000E6801" w:rsidRDefault="002329CF" w:rsidP="0050321C">
      <w:pPr>
        <w:pStyle w:val="Heading1"/>
        <w:rPr>
          <w:color w:val="auto"/>
        </w:rPr>
      </w:pPr>
      <w:r w:rsidRPr="000E6801">
        <w:rPr>
          <w:color w:val="auto"/>
        </w:rPr>
        <w:t xml:space="preserve">Equalities impact </w:t>
      </w:r>
    </w:p>
    <w:p w14:paraId="15735299" w14:textId="77777777" w:rsidR="00E206D6" w:rsidRPr="000E6801" w:rsidRDefault="00256350" w:rsidP="00E835AB">
      <w:pPr>
        <w:pStyle w:val="ListParagraph"/>
        <w:rPr>
          <w:color w:val="auto"/>
        </w:rPr>
      </w:pPr>
      <w:r w:rsidRPr="000E6801">
        <w:rPr>
          <w:color w:val="auto"/>
        </w:rPr>
        <w:t>There are no equalities impacts arising directly from this report.</w:t>
      </w:r>
    </w:p>
    <w:p w14:paraId="04348104" w14:textId="77777777" w:rsidR="002329CF" w:rsidRPr="00A51D06"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A86331" w14:paraId="0DAEFDC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D462A3A" w14:textId="77777777" w:rsidR="00E87F7A" w:rsidRPr="00A86331" w:rsidRDefault="00E87F7A" w:rsidP="00A46E98">
            <w:pPr>
              <w:rPr>
                <w:b/>
                <w:color w:val="auto"/>
              </w:rPr>
            </w:pPr>
            <w:r w:rsidRPr="00A86331">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7CEE09E" w14:textId="77777777" w:rsidR="00E87F7A" w:rsidRPr="00A86331" w:rsidRDefault="00256350" w:rsidP="00A46E98">
            <w:pPr>
              <w:rPr>
                <w:color w:val="auto"/>
              </w:rPr>
            </w:pPr>
            <w:r w:rsidRPr="00A86331">
              <w:rPr>
                <w:color w:val="auto"/>
              </w:rPr>
              <w:t xml:space="preserve">Nigel Kennedy </w:t>
            </w:r>
          </w:p>
          <w:p w14:paraId="168BD675" w14:textId="77777777" w:rsidR="00256350" w:rsidRPr="00A86331" w:rsidRDefault="00256350" w:rsidP="00256350">
            <w:pPr>
              <w:rPr>
                <w:color w:val="auto"/>
              </w:rPr>
            </w:pPr>
            <w:r w:rsidRPr="00A86331">
              <w:rPr>
                <w:color w:val="auto"/>
              </w:rPr>
              <w:t>Helen Bishop</w:t>
            </w:r>
          </w:p>
        </w:tc>
      </w:tr>
      <w:tr w:rsidR="00DF093E" w:rsidRPr="00A86331" w14:paraId="49AD496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D4B7D43" w14:textId="77777777" w:rsidR="00E87F7A" w:rsidRPr="00A86331" w:rsidRDefault="00E87F7A" w:rsidP="00A46E98">
            <w:pPr>
              <w:rPr>
                <w:color w:val="auto"/>
              </w:rPr>
            </w:pPr>
            <w:r w:rsidRPr="00A86331">
              <w:rPr>
                <w:color w:val="auto"/>
              </w:rPr>
              <w:t>Job title</w:t>
            </w:r>
          </w:p>
        </w:tc>
        <w:tc>
          <w:tcPr>
            <w:tcW w:w="4962" w:type="dxa"/>
            <w:tcBorders>
              <w:top w:val="single" w:sz="8" w:space="0" w:color="000000"/>
              <w:left w:val="nil"/>
              <w:bottom w:val="nil"/>
              <w:right w:val="single" w:sz="8" w:space="0" w:color="000000"/>
            </w:tcBorders>
            <w:shd w:val="clear" w:color="auto" w:fill="auto"/>
          </w:tcPr>
          <w:p w14:paraId="24113A60" w14:textId="77777777" w:rsidR="00E87F7A" w:rsidRPr="00A86331" w:rsidRDefault="00256350" w:rsidP="00A46E98">
            <w:pPr>
              <w:rPr>
                <w:color w:val="auto"/>
              </w:rPr>
            </w:pPr>
            <w:r w:rsidRPr="00A86331">
              <w:rPr>
                <w:color w:val="auto"/>
              </w:rPr>
              <w:t>Head of Financial Services</w:t>
            </w:r>
          </w:p>
          <w:p w14:paraId="43F92FD8" w14:textId="77777777" w:rsidR="00256350" w:rsidRPr="00A86331" w:rsidRDefault="00256350" w:rsidP="00A46E98">
            <w:pPr>
              <w:rPr>
                <w:color w:val="auto"/>
              </w:rPr>
            </w:pPr>
            <w:r w:rsidRPr="00A86331">
              <w:rPr>
                <w:color w:val="auto"/>
              </w:rPr>
              <w:t>Head of Business Improvement</w:t>
            </w:r>
          </w:p>
        </w:tc>
      </w:tr>
      <w:tr w:rsidR="00DF093E" w:rsidRPr="00A86331" w14:paraId="1D0E9714" w14:textId="77777777" w:rsidTr="00A46E98">
        <w:trPr>
          <w:cantSplit/>
          <w:trHeight w:val="396"/>
        </w:trPr>
        <w:tc>
          <w:tcPr>
            <w:tcW w:w="3969" w:type="dxa"/>
            <w:tcBorders>
              <w:top w:val="nil"/>
              <w:left w:val="single" w:sz="8" w:space="0" w:color="000000"/>
              <w:bottom w:val="nil"/>
              <w:right w:val="nil"/>
            </w:tcBorders>
            <w:shd w:val="clear" w:color="auto" w:fill="auto"/>
          </w:tcPr>
          <w:p w14:paraId="17E70A9B" w14:textId="77777777" w:rsidR="00E87F7A" w:rsidRPr="00A86331" w:rsidRDefault="00E87F7A" w:rsidP="00A46E98">
            <w:pPr>
              <w:rPr>
                <w:color w:val="auto"/>
              </w:rPr>
            </w:pPr>
            <w:r w:rsidRPr="00A86331">
              <w:rPr>
                <w:color w:val="auto"/>
              </w:rPr>
              <w:t>Service area or department</w:t>
            </w:r>
          </w:p>
        </w:tc>
        <w:tc>
          <w:tcPr>
            <w:tcW w:w="4962" w:type="dxa"/>
            <w:tcBorders>
              <w:top w:val="nil"/>
              <w:left w:val="nil"/>
              <w:bottom w:val="nil"/>
              <w:right w:val="single" w:sz="8" w:space="0" w:color="000000"/>
            </w:tcBorders>
            <w:shd w:val="clear" w:color="auto" w:fill="auto"/>
          </w:tcPr>
          <w:p w14:paraId="158EA9A3" w14:textId="77777777" w:rsidR="00E87F7A" w:rsidRPr="00A86331" w:rsidRDefault="00256350" w:rsidP="00A46E98">
            <w:pPr>
              <w:rPr>
                <w:color w:val="auto"/>
              </w:rPr>
            </w:pPr>
            <w:r w:rsidRPr="00A86331">
              <w:rPr>
                <w:color w:val="auto"/>
              </w:rPr>
              <w:t>Financial Services/Business Improvement</w:t>
            </w:r>
          </w:p>
        </w:tc>
      </w:tr>
      <w:tr w:rsidR="00DF093E" w:rsidRPr="00A86331" w14:paraId="39F3CF1A" w14:textId="77777777" w:rsidTr="00A46E98">
        <w:trPr>
          <w:cantSplit/>
          <w:trHeight w:val="396"/>
        </w:trPr>
        <w:tc>
          <w:tcPr>
            <w:tcW w:w="3969" w:type="dxa"/>
            <w:tcBorders>
              <w:top w:val="nil"/>
              <w:left w:val="single" w:sz="8" w:space="0" w:color="000000"/>
              <w:bottom w:val="nil"/>
              <w:right w:val="nil"/>
            </w:tcBorders>
            <w:shd w:val="clear" w:color="auto" w:fill="auto"/>
          </w:tcPr>
          <w:p w14:paraId="53C68AF8" w14:textId="77777777" w:rsidR="00E87F7A" w:rsidRPr="00A86331" w:rsidRDefault="00E87F7A" w:rsidP="00A46E98">
            <w:pPr>
              <w:rPr>
                <w:color w:val="auto"/>
              </w:rPr>
            </w:pPr>
            <w:r w:rsidRPr="00A86331">
              <w:rPr>
                <w:color w:val="auto"/>
              </w:rPr>
              <w:t xml:space="preserve">Telephone </w:t>
            </w:r>
          </w:p>
        </w:tc>
        <w:tc>
          <w:tcPr>
            <w:tcW w:w="4962" w:type="dxa"/>
            <w:tcBorders>
              <w:top w:val="nil"/>
              <w:left w:val="nil"/>
              <w:bottom w:val="nil"/>
              <w:right w:val="single" w:sz="8" w:space="0" w:color="000000"/>
            </w:tcBorders>
            <w:shd w:val="clear" w:color="auto" w:fill="auto"/>
          </w:tcPr>
          <w:p w14:paraId="02CE287C" w14:textId="77777777" w:rsidR="00E87F7A" w:rsidRPr="00A86331" w:rsidRDefault="00256350" w:rsidP="00256350">
            <w:pPr>
              <w:rPr>
                <w:color w:val="auto"/>
              </w:rPr>
            </w:pPr>
            <w:r w:rsidRPr="00A86331">
              <w:rPr>
                <w:color w:val="auto"/>
              </w:rPr>
              <w:t>01865 252708</w:t>
            </w:r>
            <w:r w:rsidR="00E87F7A" w:rsidRPr="00A86331">
              <w:rPr>
                <w:color w:val="auto"/>
              </w:rPr>
              <w:t xml:space="preserve">  </w:t>
            </w:r>
          </w:p>
        </w:tc>
      </w:tr>
      <w:tr w:rsidR="005570B5" w:rsidRPr="00A86331" w14:paraId="5E1382A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95CD8CF" w14:textId="77777777" w:rsidR="00E87F7A" w:rsidRPr="00A86331" w:rsidRDefault="00E87F7A" w:rsidP="00A46E98">
            <w:pPr>
              <w:rPr>
                <w:color w:val="auto"/>
              </w:rPr>
            </w:pPr>
            <w:r w:rsidRPr="00A86331">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9F66F2A" w14:textId="77777777" w:rsidR="00E87F7A" w:rsidRPr="00A86331" w:rsidRDefault="00256350" w:rsidP="00A46E98">
            <w:pPr>
              <w:rPr>
                <w:rStyle w:val="Hyperlink"/>
                <w:color w:val="auto"/>
              </w:rPr>
            </w:pPr>
            <w:r w:rsidRPr="00A86331">
              <w:rPr>
                <w:rStyle w:val="Hyperlink"/>
                <w:color w:val="auto"/>
              </w:rPr>
              <w:t>nkennedy@oxford.gov.uk/hbishop@oxford.gov.uk</w:t>
            </w:r>
          </w:p>
        </w:tc>
      </w:tr>
    </w:tbl>
    <w:p w14:paraId="2D887685" w14:textId="77777777" w:rsidR="00433B96" w:rsidRPr="00A86331"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A86331" w14:paraId="5C0548AD"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737A016" w14:textId="77777777" w:rsidR="0093067A" w:rsidRPr="00A86331" w:rsidRDefault="00182B81" w:rsidP="00F41AC1">
            <w:pPr>
              <w:rPr>
                <w:color w:val="auto"/>
              </w:rPr>
            </w:pPr>
            <w:r w:rsidRPr="00A86331">
              <w:rPr>
                <w:rStyle w:val="Firstpagetablebold"/>
                <w:color w:val="auto"/>
              </w:rPr>
              <w:t xml:space="preserve">Background Papers: </w:t>
            </w:r>
            <w:r w:rsidRPr="00A86331">
              <w:rPr>
                <w:rStyle w:val="Firstpagetablebold"/>
                <w:b w:val="0"/>
                <w:color w:val="auto"/>
              </w:rPr>
              <w:t>None</w:t>
            </w:r>
          </w:p>
        </w:tc>
      </w:tr>
      <w:tr w:rsidR="005570B5" w:rsidRPr="00A86331" w14:paraId="48B8E877" w14:textId="77777777" w:rsidTr="00A46E98">
        <w:tc>
          <w:tcPr>
            <w:tcW w:w="567" w:type="dxa"/>
            <w:tcBorders>
              <w:top w:val="nil"/>
              <w:left w:val="single" w:sz="8" w:space="0" w:color="000000"/>
              <w:bottom w:val="single" w:sz="8" w:space="0" w:color="000000"/>
              <w:right w:val="nil"/>
            </w:tcBorders>
            <w:shd w:val="clear" w:color="auto" w:fill="auto"/>
          </w:tcPr>
          <w:p w14:paraId="51C20923" w14:textId="77777777" w:rsidR="0093067A" w:rsidRPr="00A86331" w:rsidRDefault="0093067A" w:rsidP="00F41AC1">
            <w:pPr>
              <w:rPr>
                <w:color w:val="auto"/>
              </w:rPr>
            </w:pPr>
          </w:p>
        </w:tc>
        <w:tc>
          <w:tcPr>
            <w:tcW w:w="8364" w:type="dxa"/>
            <w:tcBorders>
              <w:top w:val="nil"/>
              <w:left w:val="nil"/>
              <w:bottom w:val="single" w:sz="8" w:space="0" w:color="000000"/>
              <w:right w:val="single" w:sz="8" w:space="0" w:color="000000"/>
            </w:tcBorders>
          </w:tcPr>
          <w:p w14:paraId="1BE559F6" w14:textId="77777777" w:rsidR="0093067A" w:rsidRPr="00A86331" w:rsidRDefault="0093067A" w:rsidP="00F41AC1">
            <w:pPr>
              <w:rPr>
                <w:color w:val="auto"/>
              </w:rPr>
            </w:pPr>
          </w:p>
        </w:tc>
      </w:tr>
    </w:tbl>
    <w:p w14:paraId="78BAFC9C" w14:textId="77777777" w:rsidR="00CE4C87" w:rsidRPr="00A86331" w:rsidRDefault="00CE4C87" w:rsidP="0093067A">
      <w:pPr>
        <w:rPr>
          <w:color w:val="auto"/>
        </w:rPr>
      </w:pPr>
    </w:p>
    <w:p w14:paraId="727AC38F" w14:textId="77777777" w:rsidR="00934E6B" w:rsidRPr="00A86331" w:rsidRDefault="00934E6B">
      <w:pPr>
        <w:rPr>
          <w:color w:val="auto"/>
        </w:rPr>
      </w:pPr>
    </w:p>
    <w:sectPr w:rsidR="00934E6B" w:rsidRPr="00A8633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B2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9265" w14:textId="77777777" w:rsidR="00A02C6C" w:rsidRDefault="00A02C6C" w:rsidP="004A6D2F">
      <w:r>
        <w:separator/>
      </w:r>
    </w:p>
  </w:endnote>
  <w:endnote w:type="continuationSeparator" w:id="0">
    <w:p w14:paraId="43C9E4E3" w14:textId="77777777" w:rsidR="00A02C6C" w:rsidRDefault="00A02C6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FDAC" w14:textId="77777777" w:rsidR="004A3EAE" w:rsidRDefault="004A3EAE" w:rsidP="004A6D2F">
    <w:pPr>
      <w:pStyle w:val="Footer"/>
    </w:pPr>
    <w:r>
      <w:t>Do not use a footer or page numbers.</w:t>
    </w:r>
  </w:p>
  <w:p w14:paraId="611C7671" w14:textId="77777777" w:rsidR="004A3EAE" w:rsidRDefault="004A3EAE" w:rsidP="004A6D2F">
    <w:pPr>
      <w:pStyle w:val="Footer"/>
    </w:pPr>
  </w:p>
  <w:p w14:paraId="1BF8A76B"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2E6B"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F745" w14:textId="77777777" w:rsidR="00A02C6C" w:rsidRDefault="00A02C6C" w:rsidP="004A6D2F">
      <w:r>
        <w:separator/>
      </w:r>
    </w:p>
  </w:footnote>
  <w:footnote w:type="continuationSeparator" w:id="0">
    <w:p w14:paraId="04235FAF" w14:textId="77777777" w:rsidR="00A02C6C" w:rsidRDefault="00A02C6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F1F" w14:textId="77777777" w:rsidR="004A3EAE" w:rsidRDefault="00434D16" w:rsidP="00D5547E">
    <w:pPr>
      <w:pStyle w:val="Header"/>
      <w:jc w:val="right"/>
    </w:pPr>
    <w:r>
      <w:rPr>
        <w:noProof/>
      </w:rPr>
      <w:drawing>
        <wp:inline distT="0" distB="0" distL="0" distR="0" wp14:anchorId="40D0C85A" wp14:editId="24A302CF">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A8428986"/>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2"/>
  </w:num>
  <w:num w:numId="2">
    <w:abstractNumId w:val="38"/>
  </w:num>
  <w:num w:numId="3">
    <w:abstractNumId w:val="13"/>
  </w:num>
  <w:num w:numId="4">
    <w:abstractNumId w:val="3"/>
  </w:num>
  <w:num w:numId="5">
    <w:abstractNumId w:val="34"/>
  </w:num>
  <w:num w:numId="6">
    <w:abstractNumId w:val="32"/>
  </w:num>
  <w:num w:numId="7">
    <w:abstractNumId w:val="31"/>
  </w:num>
  <w:num w:numId="8">
    <w:abstractNumId w:val="14"/>
  </w:num>
  <w:num w:numId="9">
    <w:abstractNumId w:val="29"/>
  </w:num>
  <w:num w:numId="10">
    <w:abstractNumId w:val="6"/>
  </w:num>
  <w:num w:numId="11">
    <w:abstractNumId w:val="0"/>
  </w:num>
  <w:num w:numId="12">
    <w:abstractNumId w:val="7"/>
  </w:num>
  <w:num w:numId="13">
    <w:abstractNumId w:val="5"/>
  </w:num>
  <w:num w:numId="14">
    <w:abstractNumId w:val="28"/>
  </w:num>
  <w:num w:numId="15">
    <w:abstractNumId w:val="1"/>
  </w:num>
  <w:num w:numId="16">
    <w:abstractNumId w:val="36"/>
  </w:num>
  <w:num w:numId="17">
    <w:abstractNumId w:val="9"/>
  </w:num>
  <w:num w:numId="18">
    <w:abstractNumId w:val="30"/>
  </w:num>
  <w:num w:numId="19">
    <w:abstractNumId w:val="37"/>
  </w:num>
  <w:num w:numId="20">
    <w:abstractNumId w:val="24"/>
  </w:num>
  <w:num w:numId="21">
    <w:abstractNumId w:val="27"/>
  </w:num>
  <w:num w:numId="22">
    <w:abstractNumId w:val="10"/>
  </w:num>
  <w:num w:numId="23">
    <w:abstractNumId w:val="16"/>
  </w:num>
  <w:num w:numId="24">
    <w:abstractNumId w:val="33"/>
  </w:num>
  <w:num w:numId="25">
    <w:abstractNumId w:val="35"/>
  </w:num>
  <w:num w:numId="26">
    <w:abstractNumId w:val="19"/>
  </w:num>
  <w:num w:numId="27">
    <w:abstractNumId w:val="21"/>
  </w:num>
  <w:num w:numId="28">
    <w:abstractNumId w:val="12"/>
  </w:num>
  <w:num w:numId="29">
    <w:abstractNumId w:val="11"/>
  </w:num>
  <w:num w:numId="30">
    <w:abstractNumId w:val="20"/>
  </w:num>
  <w:num w:numId="31">
    <w:abstractNumId w:val="15"/>
  </w:num>
  <w:num w:numId="32">
    <w:abstractNumId w:val="18"/>
  </w:num>
  <w:num w:numId="33">
    <w:abstractNumId w:val="4"/>
  </w:num>
  <w:num w:numId="34">
    <w:abstractNumId w:val="17"/>
  </w:num>
  <w:num w:numId="35">
    <w:abstractNumId w:val="26"/>
  </w:num>
  <w:num w:numId="36">
    <w:abstractNumId w:val="8"/>
  </w:num>
  <w:num w:numId="37">
    <w:abstractNumId w:val="23"/>
  </w:num>
  <w:num w:numId="38">
    <w:abstractNumId w:val="25"/>
  </w:num>
  <w:num w:numId="39">
    <w:abstractNumId w:val="2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7523"/>
    <w:rsid w:val="000776FF"/>
    <w:rsid w:val="00081E30"/>
    <w:rsid w:val="00085B72"/>
    <w:rsid w:val="0009130F"/>
    <w:rsid w:val="000917F9"/>
    <w:rsid w:val="00092163"/>
    <w:rsid w:val="00093353"/>
    <w:rsid w:val="00096070"/>
    <w:rsid w:val="000A00A3"/>
    <w:rsid w:val="000A026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E0057"/>
    <w:rsid w:val="000E0560"/>
    <w:rsid w:val="000E0892"/>
    <w:rsid w:val="000E4222"/>
    <w:rsid w:val="000E6801"/>
    <w:rsid w:val="000F2A7A"/>
    <w:rsid w:val="000F3585"/>
    <w:rsid w:val="000F44CC"/>
    <w:rsid w:val="000F4751"/>
    <w:rsid w:val="000F4EBE"/>
    <w:rsid w:val="00100B3F"/>
    <w:rsid w:val="00103EAA"/>
    <w:rsid w:val="0010524C"/>
    <w:rsid w:val="0010611D"/>
    <w:rsid w:val="00106E1A"/>
    <w:rsid w:val="00111FB1"/>
    <w:rsid w:val="001121C1"/>
    <w:rsid w:val="0011233D"/>
    <w:rsid w:val="0011263A"/>
    <w:rsid w:val="00113418"/>
    <w:rsid w:val="00117FD9"/>
    <w:rsid w:val="00120699"/>
    <w:rsid w:val="00121043"/>
    <w:rsid w:val="00124CD2"/>
    <w:rsid w:val="001356F1"/>
    <w:rsid w:val="00136994"/>
    <w:rsid w:val="00136EB8"/>
    <w:rsid w:val="00136FB7"/>
    <w:rsid w:val="0014128E"/>
    <w:rsid w:val="00141634"/>
    <w:rsid w:val="00151888"/>
    <w:rsid w:val="0015241C"/>
    <w:rsid w:val="001531B9"/>
    <w:rsid w:val="00153496"/>
    <w:rsid w:val="00153515"/>
    <w:rsid w:val="00155948"/>
    <w:rsid w:val="00156074"/>
    <w:rsid w:val="00160BAB"/>
    <w:rsid w:val="00162B63"/>
    <w:rsid w:val="001665D8"/>
    <w:rsid w:val="0017015E"/>
    <w:rsid w:val="001705FE"/>
    <w:rsid w:val="00170A2D"/>
    <w:rsid w:val="00170D87"/>
    <w:rsid w:val="001757B4"/>
    <w:rsid w:val="00177372"/>
    <w:rsid w:val="001808BC"/>
    <w:rsid w:val="00182B81"/>
    <w:rsid w:val="0018619D"/>
    <w:rsid w:val="001866BD"/>
    <w:rsid w:val="00187084"/>
    <w:rsid w:val="00187D58"/>
    <w:rsid w:val="0019019C"/>
    <w:rsid w:val="001944A2"/>
    <w:rsid w:val="0019563E"/>
    <w:rsid w:val="00195CA7"/>
    <w:rsid w:val="00197786"/>
    <w:rsid w:val="001A011E"/>
    <w:rsid w:val="001A066A"/>
    <w:rsid w:val="001A13E6"/>
    <w:rsid w:val="001A4DDB"/>
    <w:rsid w:val="001A5731"/>
    <w:rsid w:val="001A60BF"/>
    <w:rsid w:val="001B0394"/>
    <w:rsid w:val="001B42C3"/>
    <w:rsid w:val="001B57C2"/>
    <w:rsid w:val="001C1E83"/>
    <w:rsid w:val="001C5D5E"/>
    <w:rsid w:val="001D522C"/>
    <w:rsid w:val="001D678D"/>
    <w:rsid w:val="001D6B95"/>
    <w:rsid w:val="001D7960"/>
    <w:rsid w:val="001E03F8"/>
    <w:rsid w:val="001E1678"/>
    <w:rsid w:val="001E3376"/>
    <w:rsid w:val="001E373D"/>
    <w:rsid w:val="001E54EC"/>
    <w:rsid w:val="001E5C62"/>
    <w:rsid w:val="001E5C87"/>
    <w:rsid w:val="001E7AFD"/>
    <w:rsid w:val="001F04F3"/>
    <w:rsid w:val="001F073F"/>
    <w:rsid w:val="001F2192"/>
    <w:rsid w:val="002018CC"/>
    <w:rsid w:val="00205EF0"/>
    <w:rsid w:val="00206053"/>
    <w:rsid w:val="002069B3"/>
    <w:rsid w:val="00206B28"/>
    <w:rsid w:val="00211440"/>
    <w:rsid w:val="002118D6"/>
    <w:rsid w:val="00213A89"/>
    <w:rsid w:val="00215DC1"/>
    <w:rsid w:val="00216AA4"/>
    <w:rsid w:val="00216D87"/>
    <w:rsid w:val="00217CBC"/>
    <w:rsid w:val="00221C73"/>
    <w:rsid w:val="00223D22"/>
    <w:rsid w:val="00224C93"/>
    <w:rsid w:val="002255C7"/>
    <w:rsid w:val="002256CA"/>
    <w:rsid w:val="002301B9"/>
    <w:rsid w:val="002329CF"/>
    <w:rsid w:val="00232F5B"/>
    <w:rsid w:val="00233A3B"/>
    <w:rsid w:val="0024230D"/>
    <w:rsid w:val="00244FEC"/>
    <w:rsid w:val="00246CCD"/>
    <w:rsid w:val="00247C29"/>
    <w:rsid w:val="00250D64"/>
    <w:rsid w:val="00251369"/>
    <w:rsid w:val="00256350"/>
    <w:rsid w:val="00260467"/>
    <w:rsid w:val="00261D35"/>
    <w:rsid w:val="00263EA3"/>
    <w:rsid w:val="00265217"/>
    <w:rsid w:val="00265BB1"/>
    <w:rsid w:val="002665C2"/>
    <w:rsid w:val="0028004E"/>
    <w:rsid w:val="00284F85"/>
    <w:rsid w:val="00285D6F"/>
    <w:rsid w:val="002873F1"/>
    <w:rsid w:val="00287FB6"/>
    <w:rsid w:val="00290915"/>
    <w:rsid w:val="00292C57"/>
    <w:rsid w:val="002A15EC"/>
    <w:rsid w:val="002A22E2"/>
    <w:rsid w:val="002A5FEB"/>
    <w:rsid w:val="002A6BE1"/>
    <w:rsid w:val="002A7109"/>
    <w:rsid w:val="002B3A96"/>
    <w:rsid w:val="002C45FC"/>
    <w:rsid w:val="002C556E"/>
    <w:rsid w:val="002C64F7"/>
    <w:rsid w:val="002C7D93"/>
    <w:rsid w:val="002D3DE5"/>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50F2"/>
    <w:rsid w:val="00360AA3"/>
    <w:rsid w:val="0036290C"/>
    <w:rsid w:val="00364FAD"/>
    <w:rsid w:val="0036738F"/>
    <w:rsid w:val="0036759C"/>
    <w:rsid w:val="00367AE5"/>
    <w:rsid w:val="00367D71"/>
    <w:rsid w:val="0037202D"/>
    <w:rsid w:val="003745E0"/>
    <w:rsid w:val="0038150A"/>
    <w:rsid w:val="00381DF8"/>
    <w:rsid w:val="00386CF0"/>
    <w:rsid w:val="00390138"/>
    <w:rsid w:val="0039198D"/>
    <w:rsid w:val="003936BA"/>
    <w:rsid w:val="00395F98"/>
    <w:rsid w:val="0039720B"/>
    <w:rsid w:val="003974D3"/>
    <w:rsid w:val="003A35E7"/>
    <w:rsid w:val="003A55C4"/>
    <w:rsid w:val="003A74EF"/>
    <w:rsid w:val="003B31C6"/>
    <w:rsid w:val="003B6E75"/>
    <w:rsid w:val="003B7DA1"/>
    <w:rsid w:val="003C0094"/>
    <w:rsid w:val="003C2354"/>
    <w:rsid w:val="003C3612"/>
    <w:rsid w:val="003C5241"/>
    <w:rsid w:val="003C619C"/>
    <w:rsid w:val="003D0379"/>
    <w:rsid w:val="003D1D47"/>
    <w:rsid w:val="003D2574"/>
    <w:rsid w:val="003D4C59"/>
    <w:rsid w:val="003D70E3"/>
    <w:rsid w:val="003E19A9"/>
    <w:rsid w:val="003E74D0"/>
    <w:rsid w:val="003E75E2"/>
    <w:rsid w:val="003F2106"/>
    <w:rsid w:val="003F333F"/>
    <w:rsid w:val="003F4267"/>
    <w:rsid w:val="003F44B1"/>
    <w:rsid w:val="003F50F9"/>
    <w:rsid w:val="003F7042"/>
    <w:rsid w:val="00404032"/>
    <w:rsid w:val="0040736F"/>
    <w:rsid w:val="00407BA5"/>
    <w:rsid w:val="004101A3"/>
    <w:rsid w:val="00412C1F"/>
    <w:rsid w:val="00413512"/>
    <w:rsid w:val="004169B8"/>
    <w:rsid w:val="00420868"/>
    <w:rsid w:val="00421CB2"/>
    <w:rsid w:val="004268B9"/>
    <w:rsid w:val="0042754C"/>
    <w:rsid w:val="00431551"/>
    <w:rsid w:val="004332E4"/>
    <w:rsid w:val="00433B96"/>
    <w:rsid w:val="00434790"/>
    <w:rsid w:val="00434D16"/>
    <w:rsid w:val="004440F1"/>
    <w:rsid w:val="004455BC"/>
    <w:rsid w:val="004456DD"/>
    <w:rsid w:val="00446085"/>
    <w:rsid w:val="00446CDF"/>
    <w:rsid w:val="00451FB4"/>
    <w:rsid w:val="004521B7"/>
    <w:rsid w:val="0045613A"/>
    <w:rsid w:val="0045731F"/>
    <w:rsid w:val="00457CEF"/>
    <w:rsid w:val="00462AB5"/>
    <w:rsid w:val="00465EAF"/>
    <w:rsid w:val="0047351F"/>
    <w:rsid w:val="004738C5"/>
    <w:rsid w:val="004768FC"/>
    <w:rsid w:val="00477871"/>
    <w:rsid w:val="00477A97"/>
    <w:rsid w:val="00480B15"/>
    <w:rsid w:val="00484780"/>
    <w:rsid w:val="00487A8A"/>
    <w:rsid w:val="00490996"/>
    <w:rsid w:val="00491046"/>
    <w:rsid w:val="0049449D"/>
    <w:rsid w:val="004945B4"/>
    <w:rsid w:val="0049617B"/>
    <w:rsid w:val="00497A27"/>
    <w:rsid w:val="004A2AC7"/>
    <w:rsid w:val="004A3EAE"/>
    <w:rsid w:val="004A6D2F"/>
    <w:rsid w:val="004B5708"/>
    <w:rsid w:val="004B6807"/>
    <w:rsid w:val="004B6F4D"/>
    <w:rsid w:val="004C195A"/>
    <w:rsid w:val="004C2887"/>
    <w:rsid w:val="004C6918"/>
    <w:rsid w:val="004C69F1"/>
    <w:rsid w:val="004C6F45"/>
    <w:rsid w:val="004D0FD0"/>
    <w:rsid w:val="004D1B2B"/>
    <w:rsid w:val="004D2626"/>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11D41"/>
    <w:rsid w:val="00512F4E"/>
    <w:rsid w:val="00524E1F"/>
    <w:rsid w:val="00526949"/>
    <w:rsid w:val="005300D5"/>
    <w:rsid w:val="00536537"/>
    <w:rsid w:val="005367B7"/>
    <w:rsid w:val="00536A53"/>
    <w:rsid w:val="005422B3"/>
    <w:rsid w:val="0054712D"/>
    <w:rsid w:val="00547EF6"/>
    <w:rsid w:val="0055120B"/>
    <w:rsid w:val="00556458"/>
    <w:rsid w:val="005570B5"/>
    <w:rsid w:val="005571E3"/>
    <w:rsid w:val="00557303"/>
    <w:rsid w:val="005603CD"/>
    <w:rsid w:val="005671FE"/>
    <w:rsid w:val="00567E18"/>
    <w:rsid w:val="00571969"/>
    <w:rsid w:val="00572110"/>
    <w:rsid w:val="00575F5F"/>
    <w:rsid w:val="00581805"/>
    <w:rsid w:val="005818C8"/>
    <w:rsid w:val="00585F76"/>
    <w:rsid w:val="00594AE5"/>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1E27"/>
    <w:rsid w:val="005D2444"/>
    <w:rsid w:val="005D2A3E"/>
    <w:rsid w:val="005D4BE4"/>
    <w:rsid w:val="005D58A0"/>
    <w:rsid w:val="005D6268"/>
    <w:rsid w:val="005D76D6"/>
    <w:rsid w:val="005E022E"/>
    <w:rsid w:val="005E288E"/>
    <w:rsid w:val="005E5215"/>
    <w:rsid w:val="005E6A9E"/>
    <w:rsid w:val="005F3275"/>
    <w:rsid w:val="005F7F7E"/>
    <w:rsid w:val="00603608"/>
    <w:rsid w:val="00604162"/>
    <w:rsid w:val="00604A65"/>
    <w:rsid w:val="00604B4C"/>
    <w:rsid w:val="0060572C"/>
    <w:rsid w:val="00610FDF"/>
    <w:rsid w:val="00614693"/>
    <w:rsid w:val="00614AE0"/>
    <w:rsid w:val="00614D6B"/>
    <w:rsid w:val="006151ED"/>
    <w:rsid w:val="0062244A"/>
    <w:rsid w:val="00623C2F"/>
    <w:rsid w:val="00624C75"/>
    <w:rsid w:val="00627684"/>
    <w:rsid w:val="00627D0F"/>
    <w:rsid w:val="00630B28"/>
    <w:rsid w:val="0063229F"/>
    <w:rsid w:val="00633578"/>
    <w:rsid w:val="006357FD"/>
    <w:rsid w:val="00637068"/>
    <w:rsid w:val="00640B28"/>
    <w:rsid w:val="0064625F"/>
    <w:rsid w:val="0064756A"/>
    <w:rsid w:val="00650642"/>
    <w:rsid w:val="00650811"/>
    <w:rsid w:val="00656353"/>
    <w:rsid w:val="006600EF"/>
    <w:rsid w:val="00660B15"/>
    <w:rsid w:val="00661D3E"/>
    <w:rsid w:val="0067298D"/>
    <w:rsid w:val="00673910"/>
    <w:rsid w:val="00675219"/>
    <w:rsid w:val="00676725"/>
    <w:rsid w:val="00692627"/>
    <w:rsid w:val="006927FE"/>
    <w:rsid w:val="006947AB"/>
    <w:rsid w:val="0069653D"/>
    <w:rsid w:val="006969E7"/>
    <w:rsid w:val="00697F53"/>
    <w:rsid w:val="006A03DC"/>
    <w:rsid w:val="006A3643"/>
    <w:rsid w:val="006B3EBB"/>
    <w:rsid w:val="006B6ED9"/>
    <w:rsid w:val="006B7532"/>
    <w:rsid w:val="006B79D4"/>
    <w:rsid w:val="006B7F04"/>
    <w:rsid w:val="006C2A29"/>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F0292"/>
    <w:rsid w:val="006F27FA"/>
    <w:rsid w:val="006F36C9"/>
    <w:rsid w:val="006F416B"/>
    <w:rsid w:val="006F4D93"/>
    <w:rsid w:val="006F519B"/>
    <w:rsid w:val="006F6DC5"/>
    <w:rsid w:val="006F7CC4"/>
    <w:rsid w:val="00703A6A"/>
    <w:rsid w:val="00703F5D"/>
    <w:rsid w:val="007114CD"/>
    <w:rsid w:val="00713675"/>
    <w:rsid w:val="00715823"/>
    <w:rsid w:val="00717CF8"/>
    <w:rsid w:val="007201B8"/>
    <w:rsid w:val="00722C3E"/>
    <w:rsid w:val="0073065E"/>
    <w:rsid w:val="007333C3"/>
    <w:rsid w:val="00737B93"/>
    <w:rsid w:val="0074211E"/>
    <w:rsid w:val="00745BF0"/>
    <w:rsid w:val="0075545F"/>
    <w:rsid w:val="00756358"/>
    <w:rsid w:val="0075664A"/>
    <w:rsid w:val="007615FE"/>
    <w:rsid w:val="0076287E"/>
    <w:rsid w:val="00763052"/>
    <w:rsid w:val="00764912"/>
    <w:rsid w:val="0076655C"/>
    <w:rsid w:val="00773D35"/>
    <w:rsid w:val="00773F4F"/>
    <w:rsid w:val="007742DC"/>
    <w:rsid w:val="00775283"/>
    <w:rsid w:val="0078327B"/>
    <w:rsid w:val="007839B9"/>
    <w:rsid w:val="00784171"/>
    <w:rsid w:val="00784884"/>
    <w:rsid w:val="007907D7"/>
    <w:rsid w:val="00791437"/>
    <w:rsid w:val="0079321F"/>
    <w:rsid w:val="007A7638"/>
    <w:rsid w:val="007B0C2C"/>
    <w:rsid w:val="007B0F89"/>
    <w:rsid w:val="007B12FE"/>
    <w:rsid w:val="007B278E"/>
    <w:rsid w:val="007B4395"/>
    <w:rsid w:val="007C0580"/>
    <w:rsid w:val="007C282E"/>
    <w:rsid w:val="007C2E3C"/>
    <w:rsid w:val="007C42D2"/>
    <w:rsid w:val="007C51F2"/>
    <w:rsid w:val="007C5C23"/>
    <w:rsid w:val="007D0E8B"/>
    <w:rsid w:val="007D1829"/>
    <w:rsid w:val="007D2F26"/>
    <w:rsid w:val="007D3AC2"/>
    <w:rsid w:val="007D5AC3"/>
    <w:rsid w:val="007E0F4C"/>
    <w:rsid w:val="007E28E1"/>
    <w:rsid w:val="007E2A26"/>
    <w:rsid w:val="007E64F0"/>
    <w:rsid w:val="007E7D96"/>
    <w:rsid w:val="007E7DC2"/>
    <w:rsid w:val="007F2348"/>
    <w:rsid w:val="007F4328"/>
    <w:rsid w:val="00803F07"/>
    <w:rsid w:val="008050A5"/>
    <w:rsid w:val="0080749A"/>
    <w:rsid w:val="008074F3"/>
    <w:rsid w:val="008077DD"/>
    <w:rsid w:val="00814689"/>
    <w:rsid w:val="008159AF"/>
    <w:rsid w:val="008161BB"/>
    <w:rsid w:val="00817482"/>
    <w:rsid w:val="00821FB8"/>
    <w:rsid w:val="00822ACD"/>
    <w:rsid w:val="008336DC"/>
    <w:rsid w:val="0083382B"/>
    <w:rsid w:val="00836AE5"/>
    <w:rsid w:val="00843591"/>
    <w:rsid w:val="0084531E"/>
    <w:rsid w:val="008516F4"/>
    <w:rsid w:val="00854074"/>
    <w:rsid w:val="00855C66"/>
    <w:rsid w:val="008575E2"/>
    <w:rsid w:val="00860C96"/>
    <w:rsid w:val="00864061"/>
    <w:rsid w:val="00871C32"/>
    <w:rsid w:val="00871EE4"/>
    <w:rsid w:val="00875823"/>
    <w:rsid w:val="00876831"/>
    <w:rsid w:val="00883BD0"/>
    <w:rsid w:val="0088458C"/>
    <w:rsid w:val="00884F2C"/>
    <w:rsid w:val="00885E16"/>
    <w:rsid w:val="00886F33"/>
    <w:rsid w:val="00891372"/>
    <w:rsid w:val="0089175C"/>
    <w:rsid w:val="0089212D"/>
    <w:rsid w:val="008A420B"/>
    <w:rsid w:val="008B1387"/>
    <w:rsid w:val="008B293F"/>
    <w:rsid w:val="008B305E"/>
    <w:rsid w:val="008B4023"/>
    <w:rsid w:val="008B6745"/>
    <w:rsid w:val="008B7371"/>
    <w:rsid w:val="008B769E"/>
    <w:rsid w:val="008C2114"/>
    <w:rsid w:val="008D0B20"/>
    <w:rsid w:val="008D1A3C"/>
    <w:rsid w:val="008D3DDB"/>
    <w:rsid w:val="008D3FE6"/>
    <w:rsid w:val="008D5B32"/>
    <w:rsid w:val="008F094F"/>
    <w:rsid w:val="008F2876"/>
    <w:rsid w:val="008F573F"/>
    <w:rsid w:val="008F6E30"/>
    <w:rsid w:val="008F7357"/>
    <w:rsid w:val="009033DA"/>
    <w:rsid w:val="009034EC"/>
    <w:rsid w:val="00905148"/>
    <w:rsid w:val="00910E25"/>
    <w:rsid w:val="00912200"/>
    <w:rsid w:val="009150B3"/>
    <w:rsid w:val="00916A6C"/>
    <w:rsid w:val="009208BD"/>
    <w:rsid w:val="009210B1"/>
    <w:rsid w:val="009212B2"/>
    <w:rsid w:val="009227CE"/>
    <w:rsid w:val="00923390"/>
    <w:rsid w:val="0093067A"/>
    <w:rsid w:val="00934D30"/>
    <w:rsid w:val="00934E6B"/>
    <w:rsid w:val="009367F2"/>
    <w:rsid w:val="009370F6"/>
    <w:rsid w:val="009372F1"/>
    <w:rsid w:val="0094198E"/>
    <w:rsid w:val="00941C60"/>
    <w:rsid w:val="00942C78"/>
    <w:rsid w:val="00946452"/>
    <w:rsid w:val="009464E4"/>
    <w:rsid w:val="0095091F"/>
    <w:rsid w:val="00953287"/>
    <w:rsid w:val="00953A87"/>
    <w:rsid w:val="009559D8"/>
    <w:rsid w:val="00956A10"/>
    <w:rsid w:val="00957365"/>
    <w:rsid w:val="00964187"/>
    <w:rsid w:val="00965E39"/>
    <w:rsid w:val="00966D42"/>
    <w:rsid w:val="00971689"/>
    <w:rsid w:val="00971754"/>
    <w:rsid w:val="00973E90"/>
    <w:rsid w:val="00975B07"/>
    <w:rsid w:val="00980B4A"/>
    <w:rsid w:val="00993F40"/>
    <w:rsid w:val="009961D5"/>
    <w:rsid w:val="0099724D"/>
    <w:rsid w:val="009A0407"/>
    <w:rsid w:val="009A1D16"/>
    <w:rsid w:val="009A2E0A"/>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1420"/>
    <w:rsid w:val="00A02C6C"/>
    <w:rsid w:val="00A04D23"/>
    <w:rsid w:val="00A06766"/>
    <w:rsid w:val="00A13765"/>
    <w:rsid w:val="00A13B37"/>
    <w:rsid w:val="00A17BAD"/>
    <w:rsid w:val="00A21B12"/>
    <w:rsid w:val="00A23CB8"/>
    <w:rsid w:val="00A23F80"/>
    <w:rsid w:val="00A36624"/>
    <w:rsid w:val="00A40E02"/>
    <w:rsid w:val="00A40EFD"/>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2AF9"/>
    <w:rsid w:val="00A84593"/>
    <w:rsid w:val="00A85B0E"/>
    <w:rsid w:val="00A86331"/>
    <w:rsid w:val="00A91B9B"/>
    <w:rsid w:val="00A9244B"/>
    <w:rsid w:val="00A92D8F"/>
    <w:rsid w:val="00A93767"/>
    <w:rsid w:val="00A94633"/>
    <w:rsid w:val="00A94C30"/>
    <w:rsid w:val="00AB1CBD"/>
    <w:rsid w:val="00AB1CFD"/>
    <w:rsid w:val="00AB2988"/>
    <w:rsid w:val="00AB41E6"/>
    <w:rsid w:val="00AB77E5"/>
    <w:rsid w:val="00AB7999"/>
    <w:rsid w:val="00AC4174"/>
    <w:rsid w:val="00AC453A"/>
    <w:rsid w:val="00AC5333"/>
    <w:rsid w:val="00AC650C"/>
    <w:rsid w:val="00AC659B"/>
    <w:rsid w:val="00AD204C"/>
    <w:rsid w:val="00AD3292"/>
    <w:rsid w:val="00AD4EDC"/>
    <w:rsid w:val="00AD5C28"/>
    <w:rsid w:val="00AD6658"/>
    <w:rsid w:val="00AE4091"/>
    <w:rsid w:val="00AE7AF0"/>
    <w:rsid w:val="00AF0BDE"/>
    <w:rsid w:val="00AF11E9"/>
    <w:rsid w:val="00AF447C"/>
    <w:rsid w:val="00AF575F"/>
    <w:rsid w:val="00AF6923"/>
    <w:rsid w:val="00AF7780"/>
    <w:rsid w:val="00AF7E6D"/>
    <w:rsid w:val="00B00BEA"/>
    <w:rsid w:val="00B0125D"/>
    <w:rsid w:val="00B01E78"/>
    <w:rsid w:val="00B02C0B"/>
    <w:rsid w:val="00B07C1C"/>
    <w:rsid w:val="00B26878"/>
    <w:rsid w:val="00B277ED"/>
    <w:rsid w:val="00B32389"/>
    <w:rsid w:val="00B364BC"/>
    <w:rsid w:val="00B40045"/>
    <w:rsid w:val="00B40416"/>
    <w:rsid w:val="00B40646"/>
    <w:rsid w:val="00B44424"/>
    <w:rsid w:val="00B46B4D"/>
    <w:rsid w:val="00B500CA"/>
    <w:rsid w:val="00B53FB6"/>
    <w:rsid w:val="00B57C29"/>
    <w:rsid w:val="00B6503D"/>
    <w:rsid w:val="00B732B4"/>
    <w:rsid w:val="00B73D1D"/>
    <w:rsid w:val="00B80341"/>
    <w:rsid w:val="00B8084E"/>
    <w:rsid w:val="00B80C36"/>
    <w:rsid w:val="00B83494"/>
    <w:rsid w:val="00B84D7D"/>
    <w:rsid w:val="00B86314"/>
    <w:rsid w:val="00B93134"/>
    <w:rsid w:val="00B93514"/>
    <w:rsid w:val="00BA0971"/>
    <w:rsid w:val="00BA1C2E"/>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41E4"/>
    <w:rsid w:val="00BE0680"/>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B7D"/>
    <w:rsid w:val="00C1561B"/>
    <w:rsid w:val="00C169D7"/>
    <w:rsid w:val="00C20A95"/>
    <w:rsid w:val="00C23F79"/>
    <w:rsid w:val="00C25AD8"/>
    <w:rsid w:val="00C2674F"/>
    <w:rsid w:val="00C2692F"/>
    <w:rsid w:val="00C30B63"/>
    <w:rsid w:val="00C3207C"/>
    <w:rsid w:val="00C32BA9"/>
    <w:rsid w:val="00C32BB4"/>
    <w:rsid w:val="00C400E1"/>
    <w:rsid w:val="00C41187"/>
    <w:rsid w:val="00C433D5"/>
    <w:rsid w:val="00C45ECB"/>
    <w:rsid w:val="00C45FC7"/>
    <w:rsid w:val="00C46E95"/>
    <w:rsid w:val="00C47889"/>
    <w:rsid w:val="00C63C31"/>
    <w:rsid w:val="00C661F5"/>
    <w:rsid w:val="00C72FE8"/>
    <w:rsid w:val="00C73206"/>
    <w:rsid w:val="00C733A4"/>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B22FB"/>
    <w:rsid w:val="00CB3198"/>
    <w:rsid w:val="00CB4592"/>
    <w:rsid w:val="00CB5E77"/>
    <w:rsid w:val="00CB6B99"/>
    <w:rsid w:val="00CC07C2"/>
    <w:rsid w:val="00CC118B"/>
    <w:rsid w:val="00CC2459"/>
    <w:rsid w:val="00CC2837"/>
    <w:rsid w:val="00CC59C6"/>
    <w:rsid w:val="00CD13DE"/>
    <w:rsid w:val="00CD2586"/>
    <w:rsid w:val="00CD6231"/>
    <w:rsid w:val="00CE2295"/>
    <w:rsid w:val="00CE22BA"/>
    <w:rsid w:val="00CE35E3"/>
    <w:rsid w:val="00CE38D2"/>
    <w:rsid w:val="00CE4C87"/>
    <w:rsid w:val="00CE544A"/>
    <w:rsid w:val="00CE6D84"/>
    <w:rsid w:val="00CF32A7"/>
    <w:rsid w:val="00CF4E15"/>
    <w:rsid w:val="00CF62B2"/>
    <w:rsid w:val="00D02009"/>
    <w:rsid w:val="00D11622"/>
    <w:rsid w:val="00D11E1C"/>
    <w:rsid w:val="00D12262"/>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13B8"/>
    <w:rsid w:val="00D44947"/>
    <w:rsid w:val="00D45E2B"/>
    <w:rsid w:val="00D474CF"/>
    <w:rsid w:val="00D51A4D"/>
    <w:rsid w:val="00D54C87"/>
    <w:rsid w:val="00D5547E"/>
    <w:rsid w:val="00D563F6"/>
    <w:rsid w:val="00D56E95"/>
    <w:rsid w:val="00D71DDE"/>
    <w:rsid w:val="00D7667D"/>
    <w:rsid w:val="00D76AA5"/>
    <w:rsid w:val="00D77751"/>
    <w:rsid w:val="00D819B3"/>
    <w:rsid w:val="00D82027"/>
    <w:rsid w:val="00D8272F"/>
    <w:rsid w:val="00D869A1"/>
    <w:rsid w:val="00D905C7"/>
    <w:rsid w:val="00D9110B"/>
    <w:rsid w:val="00DA413F"/>
    <w:rsid w:val="00DA4584"/>
    <w:rsid w:val="00DA614B"/>
    <w:rsid w:val="00DA74DA"/>
    <w:rsid w:val="00DB0200"/>
    <w:rsid w:val="00DB13DB"/>
    <w:rsid w:val="00DB40A3"/>
    <w:rsid w:val="00DB5E73"/>
    <w:rsid w:val="00DC1F43"/>
    <w:rsid w:val="00DC23A9"/>
    <w:rsid w:val="00DC3060"/>
    <w:rsid w:val="00DD03F8"/>
    <w:rsid w:val="00DD2353"/>
    <w:rsid w:val="00DD2B83"/>
    <w:rsid w:val="00DD512B"/>
    <w:rsid w:val="00DD54A8"/>
    <w:rsid w:val="00DD722C"/>
    <w:rsid w:val="00DE041F"/>
    <w:rsid w:val="00DE08E5"/>
    <w:rsid w:val="00DE0FB2"/>
    <w:rsid w:val="00DE2F66"/>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40753"/>
    <w:rsid w:val="00E41F54"/>
    <w:rsid w:val="00E42EBA"/>
    <w:rsid w:val="00E45179"/>
    <w:rsid w:val="00E52086"/>
    <w:rsid w:val="00E543A6"/>
    <w:rsid w:val="00E54D43"/>
    <w:rsid w:val="00E57026"/>
    <w:rsid w:val="00E6010D"/>
    <w:rsid w:val="00E60479"/>
    <w:rsid w:val="00E605C7"/>
    <w:rsid w:val="00E61D73"/>
    <w:rsid w:val="00E64E47"/>
    <w:rsid w:val="00E73684"/>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FF7"/>
    <w:rsid w:val="00EB068A"/>
    <w:rsid w:val="00EB1DA7"/>
    <w:rsid w:val="00EB54FB"/>
    <w:rsid w:val="00EB5BD4"/>
    <w:rsid w:val="00EB66F1"/>
    <w:rsid w:val="00EC4A78"/>
    <w:rsid w:val="00EC7FEC"/>
    <w:rsid w:val="00ED0A5F"/>
    <w:rsid w:val="00ED1345"/>
    <w:rsid w:val="00ED52CA"/>
    <w:rsid w:val="00ED5860"/>
    <w:rsid w:val="00EE1B3E"/>
    <w:rsid w:val="00EE1B74"/>
    <w:rsid w:val="00EE35C9"/>
    <w:rsid w:val="00EE39AE"/>
    <w:rsid w:val="00EF4198"/>
    <w:rsid w:val="00F0438B"/>
    <w:rsid w:val="00F05ECA"/>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71F9"/>
    <w:rsid w:val="00F57900"/>
    <w:rsid w:val="00F66DCA"/>
    <w:rsid w:val="00F67E1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85D"/>
    <w:rsid w:val="00FA4A8D"/>
    <w:rsid w:val="00FA578E"/>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9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B5DA-8454-4486-85FB-458BFC1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535F7411</Template>
  <TotalTime>54</TotalTime>
  <Pages>8</Pages>
  <Words>2646</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6</cp:revision>
  <cp:lastPrinted>2018-05-10T08:28:00Z</cp:lastPrinted>
  <dcterms:created xsi:type="dcterms:W3CDTF">2018-05-22T07:21:00Z</dcterms:created>
  <dcterms:modified xsi:type="dcterms:W3CDTF">2018-06-01T15:37:00Z</dcterms:modified>
</cp:coreProperties>
</file>